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3D" w:rsidRDefault="00E02BC5">
      <w:pPr>
        <w:spacing w:before="61" w:line="276" w:lineRule="auto"/>
        <w:ind w:left="11999" w:right="113" w:firstLine="1816"/>
        <w:jc w:val="right"/>
        <w:rPr>
          <w:sz w:val="24"/>
        </w:rPr>
      </w:pPr>
      <w:r>
        <w:rPr>
          <w:sz w:val="24"/>
        </w:rPr>
        <w:t>Приложение</w:t>
      </w:r>
      <w:r>
        <w:rPr>
          <w:spacing w:val="-3"/>
          <w:sz w:val="24"/>
        </w:rPr>
        <w:t xml:space="preserve"> </w:t>
      </w:r>
      <w:r>
        <w:rPr>
          <w:sz w:val="24"/>
        </w:rPr>
        <w:t>№</w:t>
      </w:r>
      <w:r>
        <w:rPr>
          <w:spacing w:val="-1"/>
          <w:sz w:val="24"/>
        </w:rPr>
        <w:t xml:space="preserve"> </w:t>
      </w:r>
      <w:r>
        <w:rPr>
          <w:spacing w:val="-6"/>
          <w:sz w:val="24"/>
        </w:rPr>
        <w:t>16</w:t>
      </w:r>
      <w:r>
        <w:rPr>
          <w:sz w:val="24"/>
        </w:rPr>
        <w:t xml:space="preserve"> к Приказу ФАС России № 631/14</w:t>
      </w:r>
      <w:r>
        <w:rPr>
          <w:spacing w:val="-10"/>
          <w:sz w:val="24"/>
        </w:rPr>
        <w:t xml:space="preserve"> </w:t>
      </w:r>
      <w:r>
        <w:rPr>
          <w:sz w:val="24"/>
        </w:rPr>
        <w:t>от</w:t>
      </w:r>
    </w:p>
    <w:p w:rsidR="0055313D" w:rsidRDefault="00E02BC5">
      <w:pPr>
        <w:spacing w:line="275" w:lineRule="exact"/>
        <w:ind w:right="113"/>
        <w:jc w:val="right"/>
        <w:rPr>
          <w:sz w:val="24"/>
        </w:rPr>
      </w:pPr>
      <w:r>
        <w:rPr>
          <w:sz w:val="24"/>
        </w:rPr>
        <w:t>08.10.2014</w:t>
      </w:r>
    </w:p>
    <w:p w:rsidR="0055313D" w:rsidRDefault="0055313D">
      <w:pPr>
        <w:spacing w:before="10"/>
        <w:rPr>
          <w:sz w:val="24"/>
        </w:rPr>
      </w:pPr>
    </w:p>
    <w:p w:rsidR="0055313D" w:rsidRDefault="00E02BC5">
      <w:pPr>
        <w:pStyle w:val="a3"/>
        <w:ind w:left="3294" w:right="2878"/>
        <w:jc w:val="center"/>
      </w:pPr>
      <w:r>
        <w:t xml:space="preserve">Основные условия договора энергоснабжения с </w:t>
      </w:r>
      <w:r w:rsidR="006A4605">
        <w:t>гражданами-потребителями на 2022</w:t>
      </w:r>
      <w:r>
        <w:t xml:space="preserve"> год</w:t>
      </w:r>
    </w:p>
    <w:p w:rsidR="0055313D" w:rsidRDefault="0055313D">
      <w:pPr>
        <w:spacing w:before="2"/>
        <w:rPr>
          <w:b/>
          <w:sz w:val="21"/>
        </w:rPr>
      </w:pPr>
    </w:p>
    <w:tbl>
      <w:tblPr>
        <w:tblStyle w:val="TableNormal"/>
        <w:tblW w:w="15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425"/>
        <w:gridCol w:w="1843"/>
        <w:gridCol w:w="11765"/>
      </w:tblGrid>
      <w:tr w:rsidR="007025F3" w:rsidTr="00C754C9">
        <w:trPr>
          <w:trHeight w:val="758"/>
        </w:trPr>
        <w:tc>
          <w:tcPr>
            <w:tcW w:w="1171" w:type="dxa"/>
            <w:vMerge w:val="restart"/>
            <w:textDirection w:val="btLr"/>
          </w:tcPr>
          <w:p w:rsidR="007025F3" w:rsidRDefault="007025F3">
            <w:pPr>
              <w:pStyle w:val="TableParagraph"/>
              <w:spacing w:before="1"/>
              <w:rPr>
                <w:b/>
                <w:sz w:val="30"/>
              </w:rPr>
            </w:pPr>
          </w:p>
          <w:p w:rsidR="007025F3" w:rsidRDefault="007025F3">
            <w:pPr>
              <w:pStyle w:val="TableParagraph"/>
              <w:spacing w:line="247" w:lineRule="auto"/>
              <w:ind w:left="3689" w:right="208" w:hanging="3325"/>
              <w:rPr>
                <w:b/>
              </w:rPr>
            </w:pPr>
            <w:r>
              <w:rPr>
                <w:b/>
              </w:rPr>
              <w:t xml:space="preserve">Основные условия договора энергоснабжения с </w:t>
            </w:r>
            <w:r w:rsidR="006A4605">
              <w:rPr>
                <w:b/>
              </w:rPr>
              <w:t>гражданами-потребителями на 2022</w:t>
            </w:r>
            <w:bookmarkStart w:id="0" w:name="_GoBack"/>
            <w:bookmarkEnd w:id="0"/>
            <w:r>
              <w:rPr>
                <w:b/>
              </w:rPr>
              <w:t xml:space="preserve"> год</w:t>
            </w:r>
          </w:p>
        </w:tc>
        <w:tc>
          <w:tcPr>
            <w:tcW w:w="425" w:type="dxa"/>
          </w:tcPr>
          <w:p w:rsidR="007025F3" w:rsidRDefault="007025F3" w:rsidP="00C754C9">
            <w:pPr>
              <w:pStyle w:val="TableParagraph"/>
              <w:spacing w:before="11"/>
              <w:jc w:val="center"/>
              <w:rPr>
                <w:b/>
                <w:sz w:val="21"/>
              </w:rPr>
            </w:pPr>
          </w:p>
          <w:p w:rsidR="007025F3" w:rsidRDefault="007025F3" w:rsidP="00C754C9">
            <w:pPr>
              <w:pStyle w:val="TableParagraph"/>
              <w:jc w:val="center"/>
              <w:rPr>
                <w:b/>
              </w:rPr>
            </w:pPr>
            <w:r>
              <w:rPr>
                <w:b/>
              </w:rPr>
              <w:t>1</w:t>
            </w:r>
            <w:r w:rsidR="00C754C9">
              <w:rPr>
                <w:b/>
              </w:rPr>
              <w:t>.</w:t>
            </w:r>
          </w:p>
        </w:tc>
        <w:tc>
          <w:tcPr>
            <w:tcW w:w="1843" w:type="dxa"/>
          </w:tcPr>
          <w:p w:rsidR="007025F3" w:rsidRDefault="007025F3" w:rsidP="008B6711">
            <w:pPr>
              <w:pStyle w:val="TableParagraph"/>
              <w:spacing w:before="125"/>
              <w:ind w:left="284" w:right="366" w:firstLine="109"/>
              <w:rPr>
                <w:b/>
              </w:rPr>
            </w:pPr>
            <w:r>
              <w:rPr>
                <w:b/>
              </w:rPr>
              <w:t>Срок действия договора</w:t>
            </w:r>
          </w:p>
        </w:tc>
        <w:tc>
          <w:tcPr>
            <w:tcW w:w="11765" w:type="dxa"/>
          </w:tcPr>
          <w:p w:rsidR="007025F3" w:rsidRPr="00C006A4" w:rsidRDefault="007025F3" w:rsidP="00C754C9">
            <w:pPr>
              <w:pStyle w:val="TableParagraph"/>
              <w:spacing w:line="247" w:lineRule="exact"/>
              <w:ind w:left="142" w:right="283"/>
              <w:jc w:val="both"/>
            </w:pPr>
            <w:r w:rsidRPr="00C006A4">
              <w:t>Договор вступает в силу в порядке и сроки, которые установлены законодательством.</w:t>
            </w:r>
          </w:p>
        </w:tc>
      </w:tr>
      <w:tr w:rsidR="007025F3" w:rsidTr="00C754C9">
        <w:trPr>
          <w:trHeight w:val="3254"/>
        </w:trPr>
        <w:tc>
          <w:tcPr>
            <w:tcW w:w="1171" w:type="dxa"/>
            <w:vMerge/>
            <w:tcBorders>
              <w:top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jc w:val="center"/>
              <w:rPr>
                <w:b/>
                <w:sz w:val="24"/>
              </w:rPr>
            </w:pPr>
          </w:p>
          <w:p w:rsidR="007025F3" w:rsidRDefault="007025F3" w:rsidP="00C754C9">
            <w:pPr>
              <w:pStyle w:val="TableParagraph"/>
              <w:spacing w:before="10"/>
              <w:jc w:val="center"/>
              <w:rPr>
                <w:b/>
                <w:sz w:val="26"/>
              </w:rPr>
            </w:pPr>
          </w:p>
          <w:p w:rsidR="007025F3" w:rsidRDefault="007025F3" w:rsidP="00C754C9">
            <w:pPr>
              <w:pStyle w:val="TableParagraph"/>
              <w:jc w:val="center"/>
              <w:rPr>
                <w:b/>
              </w:rPr>
            </w:pPr>
            <w:r>
              <w:rPr>
                <w:b/>
              </w:rPr>
              <w:t>2</w:t>
            </w:r>
            <w:r w:rsidR="00C754C9">
              <w:rPr>
                <w:b/>
              </w:rPr>
              <w:t>.</w:t>
            </w:r>
          </w:p>
        </w:tc>
        <w:tc>
          <w:tcPr>
            <w:tcW w:w="1843" w:type="dxa"/>
          </w:tcPr>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rPr>
                <w:b/>
                <w:sz w:val="24"/>
              </w:rPr>
            </w:pPr>
          </w:p>
          <w:p w:rsidR="007025F3" w:rsidRDefault="007025F3">
            <w:pPr>
              <w:pStyle w:val="TableParagraph"/>
              <w:spacing w:before="206"/>
              <w:ind w:left="369" w:right="360" w:hanging="2"/>
              <w:jc w:val="center"/>
              <w:rPr>
                <w:b/>
              </w:rPr>
            </w:pPr>
            <w:r>
              <w:rPr>
                <w:b/>
              </w:rPr>
              <w:t>Вид цены на электрическую энергию</w:t>
            </w:r>
          </w:p>
          <w:p w:rsidR="007025F3" w:rsidRDefault="007025F3">
            <w:pPr>
              <w:pStyle w:val="TableParagraph"/>
              <w:ind w:left="292" w:right="282"/>
              <w:jc w:val="center"/>
              <w:rPr>
                <w:b/>
              </w:rPr>
            </w:pPr>
            <w:r>
              <w:rPr>
                <w:b/>
              </w:rPr>
              <w:t>(фиксированная или переменная)</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Размер платы за электрическую энергию рассчитывается в порядке, определенном Правилами предоставления коммунальных услуг собственниками и пользователями помещений в многоквартирных домах и жилых домов, утвержденными Постановлением Правительства РФ № 354 от 06.05.2011 (далее – Правила), по тарифам, установленным в соответствии с законодательством:</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электроснабжения.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 </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В случае принятия в субъекте Российской Федерации решения об установлении социальной нормы потребления электрической энергии размер 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документе.</w:t>
            </w:r>
          </w:p>
        </w:tc>
      </w:tr>
      <w:tr w:rsidR="007025F3" w:rsidTr="00C754C9">
        <w:trPr>
          <w:trHeight w:val="1264"/>
        </w:trPr>
        <w:tc>
          <w:tcPr>
            <w:tcW w:w="1171" w:type="dxa"/>
            <w:vMerge/>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p>
          <w:p w:rsidR="007025F3" w:rsidRDefault="007025F3" w:rsidP="00C754C9">
            <w:pPr>
              <w:pStyle w:val="TableParagraph"/>
              <w:spacing w:before="10"/>
              <w:jc w:val="center"/>
              <w:rPr>
                <w:b/>
                <w:sz w:val="19"/>
              </w:rPr>
            </w:pPr>
          </w:p>
          <w:p w:rsidR="007025F3" w:rsidRDefault="007025F3" w:rsidP="00C754C9">
            <w:pPr>
              <w:pStyle w:val="TableParagraph"/>
              <w:jc w:val="center"/>
              <w:rPr>
                <w:b/>
              </w:rPr>
            </w:pPr>
            <w:r>
              <w:rPr>
                <w:b/>
              </w:rPr>
              <w:t>3</w:t>
            </w:r>
            <w:r w:rsidR="00C754C9">
              <w:rPr>
                <w:b/>
              </w:rPr>
              <w:t>.</w:t>
            </w:r>
          </w:p>
        </w:tc>
        <w:tc>
          <w:tcPr>
            <w:tcW w:w="1843" w:type="dxa"/>
          </w:tcPr>
          <w:p w:rsidR="007025F3" w:rsidRDefault="007025F3">
            <w:pPr>
              <w:pStyle w:val="TableParagraph"/>
              <w:rPr>
                <w:b/>
                <w:sz w:val="24"/>
              </w:rPr>
            </w:pPr>
          </w:p>
          <w:p w:rsidR="007025F3" w:rsidRDefault="007025F3">
            <w:pPr>
              <w:pStyle w:val="TableParagraph"/>
              <w:spacing w:before="10"/>
              <w:rPr>
                <w:b/>
                <w:sz w:val="19"/>
              </w:rPr>
            </w:pPr>
          </w:p>
          <w:p w:rsidR="007025F3" w:rsidRDefault="007025F3">
            <w:pPr>
              <w:pStyle w:val="TableParagraph"/>
              <w:ind w:left="390"/>
              <w:rPr>
                <w:b/>
              </w:rPr>
            </w:pPr>
            <w:r>
              <w:rPr>
                <w:b/>
              </w:rPr>
              <w:t>Форма оплаты</w:t>
            </w:r>
          </w:p>
        </w:tc>
        <w:tc>
          <w:tcPr>
            <w:tcW w:w="11765" w:type="dxa"/>
          </w:tcPr>
          <w:p w:rsidR="007025F3" w:rsidRPr="00C006A4" w:rsidRDefault="007025F3" w:rsidP="00C754C9">
            <w:pPr>
              <w:pStyle w:val="TableParagraph"/>
              <w:spacing w:line="238" w:lineRule="exact"/>
              <w:ind w:left="142" w:right="283"/>
              <w:jc w:val="both"/>
            </w:pPr>
            <w:r w:rsidRPr="00C006A4">
              <w:t>Безналичная/наличная.</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Расчетный период для оплаты устанавливается равным календарному месяцу.</w:t>
            </w:r>
          </w:p>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Потребитель обязуется 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расположенных на нем надворных построек (для домовладений) не позднее 10-го числа месяца, следующего за расчетным.</w:t>
            </w:r>
          </w:p>
        </w:tc>
      </w:tr>
      <w:tr w:rsidR="007025F3" w:rsidTr="00C754C9">
        <w:trPr>
          <w:trHeight w:val="126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r>
              <w:rPr>
                <w:b/>
                <w:sz w:val="24"/>
              </w:rPr>
              <w:t>4.</w:t>
            </w:r>
          </w:p>
        </w:tc>
        <w:tc>
          <w:tcPr>
            <w:tcW w:w="1843" w:type="dxa"/>
          </w:tcPr>
          <w:p w:rsidR="007025F3" w:rsidRDefault="007025F3">
            <w:pPr>
              <w:pStyle w:val="TableParagraph"/>
              <w:rPr>
                <w:b/>
                <w:sz w:val="24"/>
              </w:rPr>
            </w:pPr>
            <w:r>
              <w:rPr>
                <w:b/>
              </w:rPr>
              <w:t>Форма обеспечения исполнения обязательств сторон по договору</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Гарантирующий поставщик имеет право ограничить или приостановить подачу электрической энергии, </w:t>
            </w:r>
            <w:r w:rsidRPr="00C006A4">
              <w:rPr>
                <w:rFonts w:eastAsia="Lucida Sans Unicode"/>
                <w:kern w:val="3"/>
                <w:lang w:eastAsia="zh-CN" w:bidi="hi-IN"/>
              </w:rPr>
              <w:t xml:space="preserve">в том числе с использованием соответствующих функций интеллектуальной системы учета электрической энергии (мощности), </w:t>
            </w:r>
            <w:r w:rsidRPr="00C006A4">
              <w:rPr>
                <w:rFonts w:eastAsia="Arial Unicode MS" w:cs="Mangal"/>
                <w:kern w:val="3"/>
                <w:lang w:eastAsia="zh-CN" w:bidi="hi-IN"/>
              </w:rPr>
              <w:t>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 Договором.</w:t>
            </w:r>
          </w:p>
        </w:tc>
      </w:tr>
      <w:tr w:rsidR="007025F3" w:rsidTr="00C754C9">
        <w:trPr>
          <w:trHeight w:val="126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r>
              <w:rPr>
                <w:b/>
                <w:sz w:val="24"/>
              </w:rPr>
              <w:t>5.</w:t>
            </w:r>
          </w:p>
        </w:tc>
        <w:tc>
          <w:tcPr>
            <w:tcW w:w="1843" w:type="dxa"/>
          </w:tcPr>
          <w:p w:rsidR="007025F3" w:rsidRDefault="007025F3">
            <w:pPr>
              <w:pStyle w:val="TableParagraph"/>
              <w:rPr>
                <w:b/>
                <w:sz w:val="24"/>
              </w:rPr>
            </w:pPr>
            <w:r>
              <w:rPr>
                <w:b/>
              </w:rPr>
              <w:t>Зона обслуживания</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t>Республика Карелия, в соответствии с Постановлением Государственного комитета РК по энергетике и регулированию тарифов № 137 от 10 октября 2006 г.</w:t>
            </w:r>
          </w:p>
        </w:tc>
      </w:tr>
      <w:tr w:rsidR="007025F3" w:rsidTr="00C754C9">
        <w:trPr>
          <w:trHeight w:val="844"/>
        </w:trPr>
        <w:tc>
          <w:tcPr>
            <w:tcW w:w="1171" w:type="dxa"/>
            <w:tcBorders>
              <w:top w:val="nil"/>
              <w:bottom w:val="nil"/>
            </w:tcBorders>
            <w:textDirection w:val="btLr"/>
          </w:tcPr>
          <w:p w:rsidR="007025F3" w:rsidRDefault="007025F3">
            <w:pPr>
              <w:rPr>
                <w:sz w:val="2"/>
                <w:szCs w:val="2"/>
              </w:rPr>
            </w:pPr>
          </w:p>
        </w:tc>
        <w:tc>
          <w:tcPr>
            <w:tcW w:w="425" w:type="dxa"/>
          </w:tcPr>
          <w:p w:rsidR="007025F3" w:rsidRDefault="007025F3" w:rsidP="00C754C9">
            <w:pPr>
              <w:pStyle w:val="TableParagraph"/>
              <w:jc w:val="center"/>
              <w:rPr>
                <w:b/>
                <w:sz w:val="24"/>
              </w:rPr>
            </w:pPr>
            <w:r>
              <w:rPr>
                <w:b/>
                <w:sz w:val="24"/>
              </w:rPr>
              <w:t>6.</w:t>
            </w:r>
          </w:p>
        </w:tc>
        <w:tc>
          <w:tcPr>
            <w:tcW w:w="1843" w:type="dxa"/>
          </w:tcPr>
          <w:p w:rsidR="007025F3" w:rsidRDefault="007025F3">
            <w:pPr>
              <w:pStyle w:val="TableParagraph"/>
              <w:rPr>
                <w:b/>
                <w:sz w:val="24"/>
              </w:rPr>
            </w:pPr>
            <w:r>
              <w:rPr>
                <w:b/>
              </w:rPr>
              <w:t>Условия расторжения договора</w:t>
            </w:r>
          </w:p>
        </w:tc>
        <w:tc>
          <w:tcPr>
            <w:tcW w:w="11765" w:type="dxa"/>
          </w:tcPr>
          <w:p w:rsidR="007025F3" w:rsidRPr="00C006A4" w:rsidRDefault="007025F3"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Изменение и расторжение договора осуществляется в порядке и по основаниям, предусмотренным законодательством.</w:t>
            </w:r>
          </w:p>
          <w:p w:rsidR="007025F3" w:rsidRPr="00C006A4" w:rsidRDefault="007025F3" w:rsidP="00C754C9">
            <w:pPr>
              <w:suppressAutoHyphens/>
              <w:ind w:left="142" w:right="283" w:firstLine="567"/>
              <w:jc w:val="both"/>
              <w:rPr>
                <w:rFonts w:eastAsia="Arial Unicode MS" w:cs="Mangal"/>
                <w:kern w:val="3"/>
                <w:lang w:eastAsia="zh-CN" w:bidi="hi-IN"/>
              </w:rPr>
            </w:pPr>
          </w:p>
        </w:tc>
      </w:tr>
      <w:tr w:rsidR="00F91CBC" w:rsidTr="00C754C9">
        <w:trPr>
          <w:trHeight w:val="1264"/>
        </w:trPr>
        <w:tc>
          <w:tcPr>
            <w:tcW w:w="1171" w:type="dxa"/>
            <w:tcBorders>
              <w:top w:val="nil"/>
              <w:bottom w:val="nil"/>
            </w:tcBorders>
            <w:textDirection w:val="btLr"/>
          </w:tcPr>
          <w:p w:rsidR="00F91CBC" w:rsidRDefault="00F91CBC">
            <w:pPr>
              <w:rPr>
                <w:sz w:val="2"/>
                <w:szCs w:val="2"/>
              </w:rPr>
            </w:pPr>
          </w:p>
        </w:tc>
        <w:tc>
          <w:tcPr>
            <w:tcW w:w="425" w:type="dxa"/>
          </w:tcPr>
          <w:p w:rsidR="00F91CBC" w:rsidRDefault="00F91CBC" w:rsidP="00C754C9">
            <w:pPr>
              <w:pStyle w:val="TableParagraph"/>
              <w:jc w:val="center"/>
              <w:rPr>
                <w:b/>
                <w:sz w:val="24"/>
              </w:rPr>
            </w:pPr>
            <w:r>
              <w:rPr>
                <w:b/>
                <w:sz w:val="24"/>
              </w:rPr>
              <w:t>7.</w:t>
            </w:r>
          </w:p>
        </w:tc>
        <w:tc>
          <w:tcPr>
            <w:tcW w:w="1843" w:type="dxa"/>
          </w:tcPr>
          <w:p w:rsidR="00F91CBC" w:rsidRDefault="00F91CBC">
            <w:pPr>
              <w:pStyle w:val="TableParagraph"/>
              <w:rPr>
                <w:b/>
              </w:rPr>
            </w:pPr>
            <w:r>
              <w:rPr>
                <w:b/>
              </w:rPr>
              <w:t>Ответственность сторон</w:t>
            </w:r>
          </w:p>
        </w:tc>
        <w:tc>
          <w:tcPr>
            <w:tcW w:w="11765" w:type="dxa"/>
          </w:tcPr>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Стороны несут ответственность за неисполнение или ненадлежащее исполнение принятых на себя обязательств по Договору в установленном законодательством или Договором порядке.</w:t>
            </w:r>
          </w:p>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w:t>
            </w:r>
          </w:p>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Гарантирующий поставщик несет ответственность за предоставление услуг ненадлежащего качества и превышение допустимых, установленных законодательством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w:t>
            </w:r>
          </w:p>
          <w:p w:rsidR="00F91CBC" w:rsidRPr="00C006A4" w:rsidRDefault="00F91CBC" w:rsidP="00C754C9">
            <w:pPr>
              <w:suppressAutoHyphens/>
              <w:ind w:left="142" w:right="283"/>
              <w:jc w:val="both"/>
              <w:rPr>
                <w:rFonts w:eastAsia="Arial Unicode MS" w:cs="Mangal"/>
                <w:kern w:val="3"/>
                <w:lang w:eastAsia="zh-CN" w:bidi="hi-IN"/>
              </w:rPr>
            </w:pPr>
            <w:r w:rsidRPr="00C006A4">
              <w:rPr>
                <w:rFonts w:eastAsia="Arial Unicode MS" w:cs="Mangal"/>
                <w:kern w:val="3"/>
                <w:lang w:eastAsia="zh-CN" w:bidi="hi-IN"/>
              </w:rPr>
              <w:t xml:space="preserve">Гарантирующий поставщик освобождается от ответственности за необеспечение бесперебойного и качественного энергоснабжения, за выход из строя бытовых </w:t>
            </w:r>
            <w:proofErr w:type="spellStart"/>
            <w:r w:rsidRPr="00C006A4">
              <w:rPr>
                <w:rFonts w:eastAsia="Arial Unicode MS" w:cs="Mangal"/>
                <w:kern w:val="3"/>
                <w:lang w:eastAsia="zh-CN" w:bidi="hi-IN"/>
              </w:rPr>
              <w:t>электроприемников</w:t>
            </w:r>
            <w:proofErr w:type="spellEnd"/>
            <w:r w:rsidRPr="00C006A4">
              <w:rPr>
                <w:rFonts w:eastAsia="Arial Unicode MS" w:cs="Mangal"/>
                <w:kern w:val="3"/>
                <w:lang w:eastAsia="zh-CN" w:bidi="hi-IN"/>
              </w:rPr>
              <w:t>, если это явилось следствием обстоятельств непреодолимой силы (т.е. чрезвычайных и непредотвратимых при данных условиях обстоятельств), в случае получения Потребителем некачественной услуги электроснабжения по вине Потребителя, а также в случае, если нарушение качества и (или) превышение допустимых, установленных действующим законодательством перерывов в электроснабжении произошло во внутридомовых, общих (коллективных) инженерных системах.</w:t>
            </w:r>
          </w:p>
          <w:p w:rsidR="00F91CBC" w:rsidRPr="00C006A4" w:rsidRDefault="00F91CBC" w:rsidP="00C754C9">
            <w:pPr>
              <w:suppressAutoHyphens/>
              <w:ind w:left="142" w:right="283" w:firstLine="567"/>
              <w:jc w:val="both"/>
              <w:rPr>
                <w:rFonts w:eastAsia="Arial Unicode MS" w:cs="Mangal"/>
                <w:kern w:val="3"/>
                <w:lang w:eastAsia="zh-CN" w:bidi="hi-IN"/>
              </w:rPr>
            </w:pPr>
          </w:p>
        </w:tc>
      </w:tr>
      <w:tr w:rsidR="00F91CBC" w:rsidTr="00C754C9">
        <w:trPr>
          <w:trHeight w:val="1264"/>
        </w:trPr>
        <w:tc>
          <w:tcPr>
            <w:tcW w:w="1171" w:type="dxa"/>
            <w:tcBorders>
              <w:top w:val="nil"/>
            </w:tcBorders>
            <w:textDirection w:val="btLr"/>
          </w:tcPr>
          <w:p w:rsidR="00F91CBC" w:rsidRDefault="00F91CBC">
            <w:pPr>
              <w:rPr>
                <w:sz w:val="2"/>
                <w:szCs w:val="2"/>
              </w:rPr>
            </w:pPr>
          </w:p>
        </w:tc>
        <w:tc>
          <w:tcPr>
            <w:tcW w:w="425" w:type="dxa"/>
          </w:tcPr>
          <w:p w:rsidR="00F91CBC" w:rsidRDefault="00F91CBC" w:rsidP="00C754C9">
            <w:pPr>
              <w:pStyle w:val="TableParagraph"/>
              <w:jc w:val="center"/>
              <w:rPr>
                <w:b/>
                <w:sz w:val="24"/>
              </w:rPr>
            </w:pPr>
            <w:r>
              <w:rPr>
                <w:b/>
                <w:sz w:val="24"/>
              </w:rPr>
              <w:t>8</w:t>
            </w:r>
            <w:r w:rsidR="00C754C9">
              <w:rPr>
                <w:b/>
                <w:sz w:val="24"/>
              </w:rPr>
              <w:t>.</w:t>
            </w:r>
          </w:p>
        </w:tc>
        <w:tc>
          <w:tcPr>
            <w:tcW w:w="1843" w:type="dxa"/>
          </w:tcPr>
          <w:p w:rsidR="00F91CBC" w:rsidRDefault="00F91CBC" w:rsidP="005319DB">
            <w:pPr>
              <w:pStyle w:val="TableParagraph"/>
              <w:ind w:left="142" w:right="154" w:firstLine="34"/>
              <w:rPr>
                <w:b/>
              </w:rPr>
            </w:pPr>
            <w:r>
              <w:rPr>
                <w:b/>
              </w:rPr>
              <w:t>Иная информация, являющаяся</w:t>
            </w:r>
          </w:p>
          <w:p w:rsidR="00F91CBC" w:rsidRDefault="00F91CBC" w:rsidP="005319DB">
            <w:pPr>
              <w:pStyle w:val="TableParagraph"/>
              <w:ind w:left="142" w:firstLine="34"/>
              <w:rPr>
                <w:b/>
              </w:rPr>
            </w:pPr>
            <w:r>
              <w:rPr>
                <w:b/>
              </w:rPr>
              <w:t>существенной для потребителей</w:t>
            </w:r>
          </w:p>
        </w:tc>
        <w:tc>
          <w:tcPr>
            <w:tcW w:w="11765" w:type="dxa"/>
          </w:tcPr>
          <w:p w:rsidR="00F91CBC" w:rsidRPr="00C006A4" w:rsidRDefault="00F91CBC" w:rsidP="00C754C9">
            <w:pPr>
              <w:suppressAutoHyphens/>
              <w:ind w:right="283" w:firstLine="567"/>
              <w:jc w:val="both"/>
              <w:rPr>
                <w:rFonts w:eastAsia="Arial Unicode MS" w:cs="Mangal"/>
                <w:kern w:val="3"/>
                <w:lang w:eastAsia="zh-CN" w:bidi="hi-IN"/>
              </w:rPr>
            </w:pPr>
            <w:r w:rsidRPr="00C006A4">
              <w:t>-</w:t>
            </w:r>
          </w:p>
        </w:tc>
      </w:tr>
    </w:tbl>
    <w:p w:rsidR="00E02BC5" w:rsidRDefault="00E02BC5"/>
    <w:sectPr w:rsidR="00E02BC5">
      <w:pgSz w:w="16840" w:h="11910" w:orient="landscape"/>
      <w:pgMar w:top="98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BA3"/>
    <w:multiLevelType w:val="hybridMultilevel"/>
    <w:tmpl w:val="C506ED5E"/>
    <w:lvl w:ilvl="0" w:tplc="D2BE4A74">
      <w:numFmt w:val="bullet"/>
      <w:lvlText w:val=""/>
      <w:lvlJc w:val="left"/>
      <w:pPr>
        <w:ind w:left="141" w:hanging="284"/>
      </w:pPr>
      <w:rPr>
        <w:rFonts w:ascii="Symbol" w:eastAsia="Symbol" w:hAnsi="Symbol" w:cs="Symbol" w:hint="default"/>
        <w:w w:val="100"/>
        <w:sz w:val="22"/>
        <w:szCs w:val="22"/>
        <w:lang w:val="ru-RU" w:eastAsia="ru-RU" w:bidi="ru-RU"/>
      </w:rPr>
    </w:lvl>
    <w:lvl w:ilvl="1" w:tplc="BA365796">
      <w:numFmt w:val="bullet"/>
      <w:lvlText w:val="•"/>
      <w:lvlJc w:val="left"/>
      <w:pPr>
        <w:ind w:left="1301" w:hanging="284"/>
      </w:pPr>
      <w:rPr>
        <w:rFonts w:hint="default"/>
        <w:lang w:val="ru-RU" w:eastAsia="ru-RU" w:bidi="ru-RU"/>
      </w:rPr>
    </w:lvl>
    <w:lvl w:ilvl="2" w:tplc="9F5651F0">
      <w:numFmt w:val="bullet"/>
      <w:lvlText w:val="•"/>
      <w:lvlJc w:val="left"/>
      <w:pPr>
        <w:ind w:left="2463" w:hanging="284"/>
      </w:pPr>
      <w:rPr>
        <w:rFonts w:hint="default"/>
        <w:lang w:val="ru-RU" w:eastAsia="ru-RU" w:bidi="ru-RU"/>
      </w:rPr>
    </w:lvl>
    <w:lvl w:ilvl="3" w:tplc="B8E0D87E">
      <w:numFmt w:val="bullet"/>
      <w:lvlText w:val="•"/>
      <w:lvlJc w:val="left"/>
      <w:pPr>
        <w:ind w:left="3625" w:hanging="284"/>
      </w:pPr>
      <w:rPr>
        <w:rFonts w:hint="default"/>
        <w:lang w:val="ru-RU" w:eastAsia="ru-RU" w:bidi="ru-RU"/>
      </w:rPr>
    </w:lvl>
    <w:lvl w:ilvl="4" w:tplc="EAAA2570">
      <w:numFmt w:val="bullet"/>
      <w:lvlText w:val="•"/>
      <w:lvlJc w:val="left"/>
      <w:pPr>
        <w:ind w:left="4786" w:hanging="284"/>
      </w:pPr>
      <w:rPr>
        <w:rFonts w:hint="default"/>
        <w:lang w:val="ru-RU" w:eastAsia="ru-RU" w:bidi="ru-RU"/>
      </w:rPr>
    </w:lvl>
    <w:lvl w:ilvl="5" w:tplc="C3E25282">
      <w:numFmt w:val="bullet"/>
      <w:lvlText w:val="•"/>
      <w:lvlJc w:val="left"/>
      <w:pPr>
        <w:ind w:left="5948" w:hanging="284"/>
      </w:pPr>
      <w:rPr>
        <w:rFonts w:hint="default"/>
        <w:lang w:val="ru-RU" w:eastAsia="ru-RU" w:bidi="ru-RU"/>
      </w:rPr>
    </w:lvl>
    <w:lvl w:ilvl="6" w:tplc="D57EBBE0">
      <w:numFmt w:val="bullet"/>
      <w:lvlText w:val="•"/>
      <w:lvlJc w:val="left"/>
      <w:pPr>
        <w:ind w:left="7110" w:hanging="284"/>
      </w:pPr>
      <w:rPr>
        <w:rFonts w:hint="default"/>
        <w:lang w:val="ru-RU" w:eastAsia="ru-RU" w:bidi="ru-RU"/>
      </w:rPr>
    </w:lvl>
    <w:lvl w:ilvl="7" w:tplc="349222B0">
      <w:numFmt w:val="bullet"/>
      <w:lvlText w:val="•"/>
      <w:lvlJc w:val="left"/>
      <w:pPr>
        <w:ind w:left="8271" w:hanging="284"/>
      </w:pPr>
      <w:rPr>
        <w:rFonts w:hint="default"/>
        <w:lang w:val="ru-RU" w:eastAsia="ru-RU" w:bidi="ru-RU"/>
      </w:rPr>
    </w:lvl>
    <w:lvl w:ilvl="8" w:tplc="FC367148">
      <w:numFmt w:val="bullet"/>
      <w:lvlText w:val="•"/>
      <w:lvlJc w:val="left"/>
      <w:pPr>
        <w:ind w:left="9433" w:hanging="28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5313D"/>
    <w:rsid w:val="005319DB"/>
    <w:rsid w:val="0055313D"/>
    <w:rsid w:val="006A4605"/>
    <w:rsid w:val="006F1AEA"/>
    <w:rsid w:val="007025F3"/>
    <w:rsid w:val="008B6711"/>
    <w:rsid w:val="00BC1D34"/>
    <w:rsid w:val="00C006A4"/>
    <w:rsid w:val="00C754C9"/>
    <w:rsid w:val="00DB4514"/>
    <w:rsid w:val="00E02BC5"/>
    <w:rsid w:val="00F9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5A21"/>
  <w15:docId w15:val="{58DD6128-8F0D-4EE8-A79A-750B153B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7</cp:revision>
  <dcterms:created xsi:type="dcterms:W3CDTF">2020-10-05T12:41:00Z</dcterms:created>
  <dcterms:modified xsi:type="dcterms:W3CDTF">2022-02-04T14:52:00Z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2020-09-30T00:00:00Z</vt:filetime>
  </property>
</Properties>
</file>