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5" w:rsidRDefault="00FF30CD" w:rsidP="00D01437">
      <w:pPr>
        <w:spacing w:line="276" w:lineRule="auto"/>
        <w:jc w:val="center"/>
        <w:rPr>
          <w:b/>
        </w:rPr>
      </w:pPr>
      <w:r w:rsidRPr="00C0720D">
        <w:rPr>
          <w:b/>
        </w:rPr>
        <w:t>Информация об изменении основных условий договор</w:t>
      </w:r>
      <w:r w:rsidR="00383E42">
        <w:rPr>
          <w:b/>
        </w:rPr>
        <w:t>ов</w:t>
      </w:r>
      <w:r w:rsidRPr="00C0720D">
        <w:rPr>
          <w:b/>
        </w:rPr>
        <w:t xml:space="preserve"> </w:t>
      </w:r>
      <w:r w:rsidR="00C04A2A">
        <w:rPr>
          <w:b/>
        </w:rPr>
        <w:t xml:space="preserve">с </w:t>
      </w:r>
      <w:r w:rsidR="008833AD">
        <w:rPr>
          <w:b/>
        </w:rPr>
        <w:t>01</w:t>
      </w:r>
      <w:r w:rsidR="00C04A2A">
        <w:rPr>
          <w:b/>
        </w:rPr>
        <w:t>.0</w:t>
      </w:r>
      <w:r w:rsidR="00E3501C">
        <w:rPr>
          <w:b/>
        </w:rPr>
        <w:t>1</w:t>
      </w:r>
      <w:r w:rsidR="00C04A2A">
        <w:rPr>
          <w:b/>
        </w:rPr>
        <w:t>.201</w:t>
      </w:r>
      <w:r w:rsidR="00E3501C">
        <w:rPr>
          <w:b/>
        </w:rPr>
        <w:t>4</w:t>
      </w:r>
      <w:r w:rsidR="00C04A2A">
        <w:rPr>
          <w:b/>
        </w:rPr>
        <w:t>г.</w:t>
      </w:r>
    </w:p>
    <w:p w:rsidR="00D01437" w:rsidRPr="00C0720D" w:rsidRDefault="00D01437" w:rsidP="00D01437">
      <w:pPr>
        <w:spacing w:line="276" w:lineRule="auto"/>
        <w:jc w:val="center"/>
        <w:rPr>
          <w:b/>
        </w:rPr>
      </w:pPr>
    </w:p>
    <w:p w:rsidR="00882B76" w:rsidRDefault="000B74B3" w:rsidP="004675FB">
      <w:pPr>
        <w:ind w:firstLine="357"/>
        <w:jc w:val="both"/>
        <w:rPr>
          <w:sz w:val="23"/>
          <w:szCs w:val="23"/>
        </w:rPr>
      </w:pPr>
      <w:proofErr w:type="gramStart"/>
      <w:r>
        <w:t xml:space="preserve">Информируем Вас о том, что </w:t>
      </w:r>
      <w:r w:rsidRPr="004675FB">
        <w:rPr>
          <w:sz w:val="23"/>
          <w:szCs w:val="23"/>
        </w:rPr>
        <w:t xml:space="preserve">Открытым акционерным </w:t>
      </w:r>
      <w:r w:rsidRPr="000E2591">
        <w:rPr>
          <w:sz w:val="23"/>
          <w:szCs w:val="23"/>
        </w:rPr>
        <w:t xml:space="preserve">обществом «Тульская </w:t>
      </w:r>
      <w:proofErr w:type="spellStart"/>
      <w:r w:rsidRPr="000E2591">
        <w:rPr>
          <w:sz w:val="23"/>
          <w:szCs w:val="23"/>
        </w:rPr>
        <w:t>энергосбытовая</w:t>
      </w:r>
      <w:proofErr w:type="spellEnd"/>
      <w:r w:rsidRPr="000E2591">
        <w:rPr>
          <w:sz w:val="23"/>
          <w:szCs w:val="23"/>
        </w:rPr>
        <w:t xml:space="preserve"> компания» </w:t>
      </w:r>
      <w:r>
        <w:rPr>
          <w:rFonts w:eastAsiaTheme="minorHAnsi"/>
          <w:lang w:eastAsia="en-US"/>
        </w:rPr>
        <w:t xml:space="preserve">в соответствии с </w:t>
      </w:r>
      <w:r>
        <w:rPr>
          <w:rFonts w:eastAsiaTheme="minorHAnsi"/>
          <w:lang w:eastAsia="en-US"/>
        </w:rPr>
        <w:t>действующи</w:t>
      </w:r>
      <w:r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нормативно-правовы</w:t>
      </w:r>
      <w:r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акт</w:t>
      </w:r>
      <w:r>
        <w:rPr>
          <w:rFonts w:eastAsiaTheme="minorHAnsi"/>
          <w:lang w:eastAsia="en-US"/>
        </w:rPr>
        <w:t>ами</w:t>
      </w:r>
      <w:r>
        <w:t xml:space="preserve"> </w:t>
      </w:r>
      <w:r w:rsidRPr="00DF5BE7">
        <w:rPr>
          <w:b/>
          <w:i/>
          <w:sz w:val="23"/>
          <w:szCs w:val="23"/>
        </w:rPr>
        <w:t xml:space="preserve">разработаны и размещены в разделе </w:t>
      </w:r>
      <w:r w:rsidRPr="00DF5BE7">
        <w:rPr>
          <w:b/>
          <w:i/>
          <w:sz w:val="23"/>
          <w:szCs w:val="23"/>
          <w:u w:val="single"/>
        </w:rPr>
        <w:t>«Клиентам»/</w:t>
      </w:r>
      <w:r w:rsidRPr="00DF5BE7">
        <w:rPr>
          <w:b/>
          <w:i/>
          <w:sz w:val="22"/>
          <w:szCs w:val="22"/>
          <w:u w:val="single"/>
        </w:rPr>
        <w:t xml:space="preserve"> «Договор с юридическими лицами, индивидуальными предпринимателями и ФЛ»</w:t>
      </w:r>
      <w:r w:rsidRPr="00BD7E29">
        <w:rPr>
          <w:sz w:val="22"/>
          <w:szCs w:val="22"/>
          <w:u w:val="single"/>
        </w:rPr>
        <w:t xml:space="preserve"> </w:t>
      </w:r>
      <w:r w:rsidRPr="00DF5BE7">
        <w:rPr>
          <w:b/>
          <w:i/>
          <w:sz w:val="23"/>
          <w:szCs w:val="23"/>
        </w:rPr>
        <w:t xml:space="preserve">типовые формы </w:t>
      </w:r>
      <w:r w:rsidR="00DF5BE7" w:rsidRPr="00DF5BE7">
        <w:rPr>
          <w:b/>
          <w:i/>
          <w:sz w:val="23"/>
          <w:szCs w:val="23"/>
        </w:rPr>
        <w:t xml:space="preserve">договоров </w:t>
      </w:r>
      <w:r w:rsidRPr="00DF5BE7">
        <w:rPr>
          <w:b/>
          <w:i/>
        </w:rPr>
        <w:t>д</w:t>
      </w:r>
      <w:r w:rsidRPr="00882B76">
        <w:rPr>
          <w:b/>
          <w:i/>
        </w:rPr>
        <w:t>ля различных категорий потребителей</w:t>
      </w:r>
      <w:r>
        <w:rPr>
          <w:b/>
          <w:i/>
        </w:rPr>
        <w:t xml:space="preserve"> (покупателей)</w:t>
      </w:r>
      <w:r>
        <w:rPr>
          <w:sz w:val="23"/>
          <w:szCs w:val="23"/>
        </w:rPr>
        <w:t xml:space="preserve"> с учетом </w:t>
      </w:r>
      <w:r w:rsidR="00DF5BE7">
        <w:rPr>
          <w:sz w:val="23"/>
          <w:szCs w:val="23"/>
        </w:rPr>
        <w:t>изменения (расширения) зоны деятельности</w:t>
      </w:r>
      <w:r>
        <w:rPr>
          <w:sz w:val="23"/>
          <w:szCs w:val="23"/>
        </w:rPr>
        <w:t xml:space="preserve">, </w:t>
      </w:r>
      <w:r w:rsidR="00DF5BE7">
        <w:rPr>
          <w:sz w:val="23"/>
          <w:szCs w:val="23"/>
        </w:rPr>
        <w:t>поскольку</w:t>
      </w:r>
      <w:r>
        <w:rPr>
          <w:sz w:val="23"/>
          <w:szCs w:val="23"/>
        </w:rPr>
        <w:t xml:space="preserve"> п</w:t>
      </w:r>
      <w:r w:rsidR="00440E85" w:rsidRPr="00C957F2">
        <w:t>риказом Министерства энергетики Российской Федерации от 23.12.2013г. № 911 гарантирующим поставщиком, принимающим на обслуживание</w:t>
      </w:r>
      <w:proofErr w:type="gramEnd"/>
      <w:r w:rsidR="00440E85" w:rsidRPr="00C957F2">
        <w:t xml:space="preserve"> </w:t>
      </w:r>
      <w:proofErr w:type="gramStart"/>
      <w:r w:rsidR="00440E85" w:rsidRPr="00C957F2">
        <w:t>потребителей ОАО «МРСК Центра и Приволжья», назначено ОАО «Ту</w:t>
      </w:r>
      <w:r w:rsidR="00440E85">
        <w:t xml:space="preserve">льская </w:t>
      </w:r>
      <w:proofErr w:type="spellStart"/>
      <w:r w:rsidR="00440E85">
        <w:t>энергосбытовая</w:t>
      </w:r>
      <w:proofErr w:type="spellEnd"/>
      <w:r w:rsidR="00440E85">
        <w:t xml:space="preserve"> компания»</w:t>
      </w:r>
      <w:r w:rsidR="00440E85">
        <w:t xml:space="preserve">, а также в связи с вступлением в силу </w:t>
      </w:r>
      <w:r w:rsidR="00A25233">
        <w:t xml:space="preserve">Федерального закона </w:t>
      </w:r>
      <w:r w:rsidR="00A25233">
        <w:t xml:space="preserve">№44-ФЗ от 05.04.2013г. </w:t>
      </w:r>
      <w:r w:rsidR="00A25233">
        <w:t xml:space="preserve">«О контрактной системе в сфере закупок товаров, работ, услуг для обеспечения государственных и муниципальных нужд </w:t>
      </w:r>
      <w:r w:rsidR="0048078E">
        <w:t>(</w:t>
      </w:r>
      <w:r w:rsidR="00A25233">
        <w:t xml:space="preserve">с учетом внесенных в него изменений Федеральным законом </w:t>
      </w:r>
      <w:r w:rsidR="00A25233">
        <w:rPr>
          <w:rFonts w:eastAsiaTheme="minorHAnsi"/>
          <w:lang w:eastAsia="en-US"/>
        </w:rPr>
        <w:t>№396-ФЗ</w:t>
      </w:r>
      <w:r w:rsidR="00A25233">
        <w:rPr>
          <w:rFonts w:eastAsiaTheme="minorHAnsi"/>
          <w:lang w:eastAsia="en-US"/>
        </w:rPr>
        <w:t xml:space="preserve"> </w:t>
      </w:r>
      <w:r w:rsidR="00A25233">
        <w:t xml:space="preserve">от </w:t>
      </w:r>
      <w:r w:rsidR="00A25233">
        <w:rPr>
          <w:rFonts w:eastAsiaTheme="minorHAnsi"/>
          <w:lang w:eastAsia="en-US"/>
        </w:rPr>
        <w:t>28.12.2013</w:t>
      </w:r>
      <w:r w:rsidR="00A25233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>), а именно</w:t>
      </w:r>
      <w:r w:rsidR="00882B76">
        <w:rPr>
          <w:sz w:val="23"/>
          <w:szCs w:val="23"/>
        </w:rPr>
        <w:t>:</w:t>
      </w:r>
      <w:proofErr w:type="gramEnd"/>
    </w:p>
    <w:p w:rsidR="004675FB" w:rsidRPr="00882B76" w:rsidRDefault="00DF5BE7" w:rsidP="004675FB">
      <w:pPr>
        <w:ind w:firstLine="357"/>
        <w:jc w:val="both"/>
        <w:rPr>
          <w:b/>
          <w:i/>
        </w:rPr>
      </w:pPr>
      <w:r>
        <w:rPr>
          <w:b/>
          <w:i/>
          <w:sz w:val="23"/>
          <w:szCs w:val="23"/>
        </w:rPr>
        <w:t>ф</w:t>
      </w:r>
      <w:r w:rsidR="000B74B3">
        <w:rPr>
          <w:b/>
          <w:i/>
          <w:sz w:val="23"/>
          <w:szCs w:val="23"/>
        </w:rPr>
        <w:t xml:space="preserve">ормы </w:t>
      </w:r>
      <w:r w:rsidR="004675FB" w:rsidRPr="00882B76">
        <w:rPr>
          <w:b/>
          <w:i/>
          <w:sz w:val="23"/>
          <w:szCs w:val="23"/>
        </w:rPr>
        <w:t xml:space="preserve">договоров (контрактов) на </w:t>
      </w:r>
      <w:r w:rsidR="004675FB" w:rsidRPr="00882B76">
        <w:rPr>
          <w:b/>
          <w:i/>
        </w:rPr>
        <w:t>снабжение электрической энергией:</w:t>
      </w:r>
    </w:p>
    <w:p w:rsidR="004C7F85" w:rsidRDefault="000422FA" w:rsidP="004C7F85">
      <w:pPr>
        <w:pStyle w:val="a4"/>
        <w:numPr>
          <w:ilvl w:val="0"/>
          <w:numId w:val="5"/>
        </w:numPr>
        <w:ind w:left="709" w:hanging="283"/>
        <w:jc w:val="both"/>
      </w:pPr>
      <w:r>
        <w:t>договор</w:t>
      </w:r>
      <w:r w:rsidRPr="004675FB">
        <w:t xml:space="preserve"> </w:t>
      </w:r>
      <w:r w:rsidR="004675FB" w:rsidRPr="004675FB">
        <w:t>для потребителей группы «прочие»</w:t>
      </w:r>
      <w:r w:rsidR="004C7F85">
        <w:t>;</w:t>
      </w:r>
    </w:p>
    <w:p w:rsidR="004C7F85" w:rsidRDefault="004C7F85" w:rsidP="004C7F85">
      <w:pPr>
        <w:pStyle w:val="a4"/>
        <w:numPr>
          <w:ilvl w:val="0"/>
          <w:numId w:val="5"/>
        </w:numPr>
        <w:ind w:left="709" w:hanging="283"/>
        <w:jc w:val="both"/>
      </w:pPr>
      <w:r>
        <w:t>договор</w:t>
      </w:r>
      <w:r w:rsidRPr="004675FB">
        <w:t xml:space="preserve"> для потребителей группы «прочие»</w:t>
      </w:r>
      <w:r>
        <w:t xml:space="preserve"> с </w:t>
      </w:r>
      <w:proofErr w:type="gramStart"/>
      <w:r>
        <w:t>блок-станциями</w:t>
      </w:r>
      <w:proofErr w:type="gramEnd"/>
      <w:r>
        <w:t>;</w:t>
      </w:r>
    </w:p>
    <w:p w:rsidR="00395A4A" w:rsidRDefault="00395A4A" w:rsidP="004C7F85">
      <w:pPr>
        <w:pStyle w:val="a4"/>
        <w:numPr>
          <w:ilvl w:val="0"/>
          <w:numId w:val="5"/>
        </w:numPr>
        <w:ind w:left="709" w:hanging="283"/>
        <w:jc w:val="both"/>
      </w:pPr>
      <w:r>
        <w:t xml:space="preserve">контракт для потребителей, финансируемых из </w:t>
      </w:r>
      <w:r w:rsidR="000422FA">
        <w:t xml:space="preserve">бюджетных </w:t>
      </w:r>
      <w:r>
        <w:t>средств</w:t>
      </w:r>
      <w:r w:rsidR="000422FA">
        <w:t>, автономных и казенных учреждений</w:t>
      </w:r>
      <w:r>
        <w:t>;</w:t>
      </w:r>
    </w:p>
    <w:p w:rsidR="001863A8" w:rsidRDefault="001863A8" w:rsidP="004C7F85">
      <w:pPr>
        <w:pStyle w:val="a4"/>
        <w:numPr>
          <w:ilvl w:val="0"/>
          <w:numId w:val="5"/>
        </w:numPr>
        <w:ind w:hanging="283"/>
        <w:jc w:val="both"/>
      </w:pPr>
      <w:r>
        <w:t>договор для исполнителей коммунальных услуг (ТСЖ, ЖСК, управляющие организации)</w:t>
      </w:r>
      <w:r w:rsidR="00BA3F9C">
        <w:t>;</w:t>
      </w:r>
    </w:p>
    <w:p w:rsidR="004675FB" w:rsidRDefault="00395A4A" w:rsidP="004C7F85">
      <w:pPr>
        <w:pStyle w:val="a4"/>
        <w:numPr>
          <w:ilvl w:val="0"/>
          <w:numId w:val="5"/>
        </w:numPr>
        <w:ind w:hanging="283"/>
        <w:jc w:val="both"/>
      </w:pPr>
      <w:r>
        <w:t>договор для потребителей, приравненных к группе «население»</w:t>
      </w:r>
      <w:r w:rsidR="00654C20">
        <w:t xml:space="preserve"> (СНТ, ГК, ГСК, религиозные организации и др.)</w:t>
      </w:r>
      <w:r>
        <w:t>;</w:t>
      </w:r>
    </w:p>
    <w:p w:rsidR="00BA3F9C" w:rsidRDefault="00BA3F9C" w:rsidP="004C7F85">
      <w:pPr>
        <w:pStyle w:val="a4"/>
        <w:numPr>
          <w:ilvl w:val="0"/>
          <w:numId w:val="5"/>
        </w:numPr>
        <w:ind w:hanging="283"/>
        <w:jc w:val="both"/>
      </w:pPr>
      <w:r>
        <w:t>договор для физического лица, осуществляющего потребление для коммунально-бытовых нужд</w:t>
      </w:r>
      <w:r w:rsidR="002741ED">
        <w:t xml:space="preserve"> (</w:t>
      </w:r>
      <w:r w:rsidR="002741ED" w:rsidRPr="000E2591">
        <w:rPr>
          <w:sz w:val="23"/>
          <w:szCs w:val="23"/>
        </w:rPr>
        <w:t xml:space="preserve">в разделе </w:t>
      </w:r>
      <w:r w:rsidR="002741ED" w:rsidRPr="000E2591">
        <w:rPr>
          <w:sz w:val="23"/>
          <w:szCs w:val="23"/>
          <w:u w:val="single"/>
        </w:rPr>
        <w:t>«Клиентам»/</w:t>
      </w:r>
      <w:r w:rsidR="002741ED" w:rsidRPr="000E2591">
        <w:rPr>
          <w:sz w:val="22"/>
          <w:szCs w:val="22"/>
          <w:u w:val="single"/>
        </w:rPr>
        <w:t xml:space="preserve"> </w:t>
      </w:r>
      <w:r w:rsidR="002741ED" w:rsidRPr="00BD7E29">
        <w:rPr>
          <w:sz w:val="22"/>
          <w:szCs w:val="22"/>
          <w:u w:val="single"/>
        </w:rPr>
        <w:t>«Договор с юридическими лицами, индивидуальными предпринимателями и ФЛ» в подразделе «</w:t>
      </w:r>
      <w:r w:rsidR="00EB034D">
        <w:rPr>
          <w:sz w:val="22"/>
          <w:szCs w:val="22"/>
          <w:u w:val="single"/>
        </w:rPr>
        <w:t xml:space="preserve">Информация по договорам, заключаемым с </w:t>
      </w:r>
      <w:r w:rsidR="00EB034D" w:rsidRPr="004C7F85">
        <w:t>физическими лицами (население)</w:t>
      </w:r>
      <w:r w:rsidR="002741ED" w:rsidRPr="004C7F85">
        <w:t>»</w:t>
      </w:r>
      <w:r>
        <w:t>;</w:t>
      </w:r>
    </w:p>
    <w:p w:rsidR="00395A4A" w:rsidRDefault="00395A4A" w:rsidP="004C7F85">
      <w:pPr>
        <w:pStyle w:val="a4"/>
        <w:numPr>
          <w:ilvl w:val="0"/>
          <w:numId w:val="5"/>
        </w:numPr>
        <w:ind w:hanging="283"/>
        <w:jc w:val="both"/>
      </w:pPr>
      <w:r>
        <w:t xml:space="preserve">договор для </w:t>
      </w:r>
      <w:proofErr w:type="spellStart"/>
      <w:r>
        <w:t>энергосбытовых</w:t>
      </w:r>
      <w:proofErr w:type="spellEnd"/>
      <w:r>
        <w:t xml:space="preserve"> компаний;</w:t>
      </w:r>
    </w:p>
    <w:p w:rsidR="004C7F85" w:rsidRDefault="00395A4A" w:rsidP="004C7F85">
      <w:pPr>
        <w:pStyle w:val="a4"/>
        <w:numPr>
          <w:ilvl w:val="0"/>
          <w:numId w:val="5"/>
        </w:numPr>
        <w:ind w:hanging="283"/>
        <w:jc w:val="both"/>
      </w:pPr>
      <w:r>
        <w:t>договор для гарантирующ</w:t>
      </w:r>
      <w:r w:rsidR="004C7F85">
        <w:t xml:space="preserve">его </w:t>
      </w:r>
      <w:r>
        <w:t>поставщик</w:t>
      </w:r>
      <w:r w:rsidR="004C7F85">
        <w:t xml:space="preserve">а </w:t>
      </w:r>
      <w:r w:rsidR="000B74B3">
        <w:t xml:space="preserve">- </w:t>
      </w:r>
      <w:r w:rsidR="004C7F85">
        <w:t>ОАО «</w:t>
      </w:r>
      <w:proofErr w:type="spellStart"/>
      <w:r w:rsidR="004C7F85">
        <w:t>Оборонэнергосбыт</w:t>
      </w:r>
      <w:proofErr w:type="spellEnd"/>
      <w:r w:rsidR="004C7F85">
        <w:t>»;</w:t>
      </w:r>
    </w:p>
    <w:p w:rsidR="00882B76" w:rsidRPr="00882B76" w:rsidRDefault="00DF5BE7" w:rsidP="00D341F9">
      <w:pPr>
        <w:ind w:firstLine="434"/>
        <w:jc w:val="both"/>
        <w:rPr>
          <w:b/>
          <w:i/>
        </w:rPr>
      </w:pPr>
      <w:r>
        <w:rPr>
          <w:b/>
          <w:i/>
          <w:sz w:val="23"/>
          <w:szCs w:val="23"/>
        </w:rPr>
        <w:t>ф</w:t>
      </w:r>
      <w:r w:rsidR="000B74B3">
        <w:rPr>
          <w:b/>
          <w:i/>
          <w:sz w:val="23"/>
          <w:szCs w:val="23"/>
        </w:rPr>
        <w:t xml:space="preserve">ормы </w:t>
      </w:r>
      <w:r w:rsidR="00882B76" w:rsidRPr="00882B76">
        <w:rPr>
          <w:b/>
          <w:i/>
          <w:sz w:val="23"/>
          <w:szCs w:val="23"/>
        </w:rPr>
        <w:t xml:space="preserve">договоров </w:t>
      </w:r>
      <w:r w:rsidR="00882B76">
        <w:rPr>
          <w:b/>
          <w:i/>
          <w:sz w:val="23"/>
          <w:szCs w:val="23"/>
        </w:rPr>
        <w:t xml:space="preserve">купли-продажи </w:t>
      </w:r>
      <w:r w:rsidR="00882B76" w:rsidRPr="00882B76">
        <w:rPr>
          <w:b/>
          <w:i/>
        </w:rPr>
        <w:t>электрической энерги</w:t>
      </w:r>
      <w:r w:rsidR="00882B76">
        <w:rPr>
          <w:b/>
          <w:i/>
        </w:rPr>
        <w:t>и</w:t>
      </w:r>
      <w:r w:rsidR="00882B76" w:rsidRPr="00882B76">
        <w:rPr>
          <w:b/>
          <w:i/>
        </w:rPr>
        <w:t>:</w:t>
      </w:r>
    </w:p>
    <w:p w:rsidR="00882B76" w:rsidRDefault="00882B76" w:rsidP="004C7F85">
      <w:pPr>
        <w:pStyle w:val="a4"/>
        <w:numPr>
          <w:ilvl w:val="0"/>
          <w:numId w:val="7"/>
        </w:numPr>
        <w:ind w:hanging="283"/>
        <w:jc w:val="both"/>
      </w:pPr>
      <w:r>
        <w:t xml:space="preserve">договор </w:t>
      </w:r>
      <w:r w:rsidRPr="004675FB">
        <w:t>для потребителей группы «прочие»</w:t>
      </w:r>
      <w:r>
        <w:t>;</w:t>
      </w:r>
    </w:p>
    <w:p w:rsidR="00882B76" w:rsidRDefault="00882B76" w:rsidP="004C7F85">
      <w:pPr>
        <w:pStyle w:val="a4"/>
        <w:numPr>
          <w:ilvl w:val="0"/>
          <w:numId w:val="7"/>
        </w:numPr>
        <w:ind w:hanging="283"/>
        <w:jc w:val="both"/>
      </w:pPr>
      <w:r>
        <w:t>дого</w:t>
      </w:r>
      <w:r w:rsidR="004C7F85">
        <w:t xml:space="preserve">вор для </w:t>
      </w:r>
      <w:proofErr w:type="spellStart"/>
      <w:r w:rsidR="004C7F85">
        <w:t>энергосбытовых</w:t>
      </w:r>
      <w:proofErr w:type="spellEnd"/>
      <w:r w:rsidR="004C7F85">
        <w:t xml:space="preserve"> компаний;</w:t>
      </w:r>
    </w:p>
    <w:p w:rsidR="004C7F85" w:rsidRDefault="004C7F85" w:rsidP="004C7F85">
      <w:pPr>
        <w:pStyle w:val="a4"/>
        <w:numPr>
          <w:ilvl w:val="0"/>
          <w:numId w:val="7"/>
        </w:numPr>
        <w:ind w:hanging="283"/>
        <w:jc w:val="both"/>
      </w:pPr>
      <w:r>
        <w:t xml:space="preserve">договор для сетевых организаций </w:t>
      </w:r>
      <w:r w:rsidRPr="004C7F85">
        <w:t>купли-продажи электрической энергии</w:t>
      </w:r>
      <w:r>
        <w:t xml:space="preserve"> </w:t>
      </w:r>
      <w:r w:rsidRPr="004C7F85">
        <w:t>для компенсации фактических потерь в электрических сетях</w:t>
      </w:r>
      <w:r>
        <w:t>;</w:t>
      </w:r>
    </w:p>
    <w:p w:rsidR="00D341F9" w:rsidRPr="004C7F85" w:rsidRDefault="00DF5BE7" w:rsidP="00D341F9">
      <w:pPr>
        <w:ind w:left="437"/>
        <w:jc w:val="both"/>
      </w:pPr>
      <w:r>
        <w:rPr>
          <w:b/>
          <w:i/>
          <w:sz w:val="23"/>
          <w:szCs w:val="23"/>
        </w:rPr>
        <w:t>ф</w:t>
      </w:r>
      <w:r w:rsidR="00D341F9" w:rsidRPr="00D341F9">
        <w:rPr>
          <w:b/>
          <w:i/>
          <w:sz w:val="23"/>
          <w:szCs w:val="23"/>
        </w:rPr>
        <w:t>орм</w:t>
      </w:r>
      <w:r w:rsidR="00D341F9">
        <w:rPr>
          <w:b/>
          <w:i/>
          <w:sz w:val="23"/>
          <w:szCs w:val="23"/>
        </w:rPr>
        <w:t>а</w:t>
      </w:r>
      <w:r w:rsidR="00D341F9" w:rsidRPr="00D341F9">
        <w:rPr>
          <w:b/>
          <w:i/>
          <w:sz w:val="23"/>
          <w:szCs w:val="23"/>
        </w:rPr>
        <w:t xml:space="preserve"> </w:t>
      </w:r>
      <w:r w:rsidR="00D341F9">
        <w:rPr>
          <w:b/>
          <w:i/>
          <w:sz w:val="23"/>
          <w:szCs w:val="23"/>
        </w:rPr>
        <w:t xml:space="preserve">дополнительного соглашения к договору с приложением к нему (формат предоставления данных о </w:t>
      </w:r>
      <w:r w:rsidR="00D341F9" w:rsidRPr="00D341F9">
        <w:rPr>
          <w:b/>
          <w:i/>
          <w:sz w:val="23"/>
          <w:szCs w:val="23"/>
        </w:rPr>
        <w:t>план</w:t>
      </w:r>
      <w:r w:rsidR="00D341F9" w:rsidRPr="00D341F9">
        <w:rPr>
          <w:b/>
          <w:i/>
          <w:sz w:val="23"/>
          <w:szCs w:val="23"/>
        </w:rPr>
        <w:t>о</w:t>
      </w:r>
      <w:r w:rsidR="00D341F9" w:rsidRPr="00D341F9">
        <w:rPr>
          <w:b/>
          <w:i/>
          <w:sz w:val="23"/>
          <w:szCs w:val="23"/>
        </w:rPr>
        <w:t>вом объеме потребления электрической энергии</w:t>
      </w:r>
      <w:r w:rsidR="00D341F9">
        <w:rPr>
          <w:b/>
          <w:i/>
          <w:sz w:val="23"/>
          <w:szCs w:val="23"/>
        </w:rPr>
        <w:t xml:space="preserve">), оформляемого </w:t>
      </w:r>
      <w:r w:rsidR="00D341F9" w:rsidRPr="00D341F9">
        <w:rPr>
          <w:b/>
          <w:i/>
          <w:color w:val="000000"/>
        </w:rPr>
        <w:t>в связи с переходом потребителя (покупателя) на расчеты с использованием 5 или 6 ценовых категорий</w:t>
      </w:r>
      <w:r w:rsidR="00D341F9">
        <w:rPr>
          <w:b/>
          <w:i/>
        </w:rPr>
        <w:t>.</w:t>
      </w:r>
      <w:r w:rsidR="00D341F9" w:rsidRPr="004C7F85">
        <w:t xml:space="preserve"> </w:t>
      </w:r>
    </w:p>
    <w:p w:rsidR="000B74B3" w:rsidRDefault="000B74B3" w:rsidP="00882B76">
      <w:pPr>
        <w:ind w:firstLine="360"/>
        <w:jc w:val="both"/>
      </w:pPr>
    </w:p>
    <w:p w:rsidR="00882B76" w:rsidRPr="009A77E1" w:rsidRDefault="00882B76" w:rsidP="00882B76">
      <w:pPr>
        <w:ind w:firstLine="360"/>
        <w:jc w:val="both"/>
      </w:pPr>
      <w:r w:rsidRPr="009A77E1">
        <w:t xml:space="preserve">Обращаем Ваше внимание, что </w:t>
      </w:r>
      <w:r w:rsidRPr="009A77E1">
        <w:rPr>
          <w:b/>
          <w:u w:val="single"/>
        </w:rPr>
        <w:t>договор купли-продажи электрической энергии может быть заключен только с лицом, которое самостоятельно урегулирует</w:t>
      </w:r>
      <w:r w:rsidRPr="009A77E1">
        <w:t xml:space="preserve"> со всеми владельцами электрических сетей отношения, связанные с передачей электрической энергии в его точки поставки на розничном рынке</w:t>
      </w:r>
      <w:r w:rsidR="00D606E6" w:rsidRPr="009A77E1">
        <w:t>,</w:t>
      </w:r>
      <w:r w:rsidRPr="009A77E1">
        <w:t xml:space="preserve"> а также вопросы оперативно-диспетчерского управления</w:t>
      </w:r>
      <w:r w:rsidR="00D606E6" w:rsidRPr="009A77E1">
        <w:t>.</w:t>
      </w:r>
    </w:p>
    <w:p w:rsidR="00D606E6" w:rsidRPr="00D606E6" w:rsidRDefault="00D606E6" w:rsidP="00882B76">
      <w:pPr>
        <w:ind w:firstLine="360"/>
        <w:jc w:val="both"/>
        <w:rPr>
          <w:b/>
        </w:rPr>
      </w:pPr>
      <w:proofErr w:type="gramStart"/>
      <w:r w:rsidRPr="00D606E6">
        <w:rPr>
          <w:b/>
        </w:rPr>
        <w:t xml:space="preserve">При этом указанное лицо обязано письменно уведомить Гарантирующего поставщика о дате заключения необходимых для этого </w:t>
      </w:r>
      <w:r w:rsidRPr="00551773">
        <w:rPr>
          <w:b/>
          <w:u w:val="single"/>
        </w:rPr>
        <w:t xml:space="preserve">договоров оказания услуг по передаче электрической энергии </w:t>
      </w:r>
      <w:r w:rsidRPr="00D606E6">
        <w:rPr>
          <w:b/>
        </w:rPr>
        <w:t xml:space="preserve">(в срок не позднее 3 рабочих дней с </w:t>
      </w:r>
      <w:r w:rsidR="00C05426">
        <w:rPr>
          <w:b/>
        </w:rPr>
        <w:t xml:space="preserve">момента </w:t>
      </w:r>
      <w:r w:rsidRPr="00D606E6">
        <w:rPr>
          <w:b/>
        </w:rPr>
        <w:t>их заключения), с приложением заверенных оттиском печати копий указанных договоров и приложений к ним, которые содержат сведения о точках поставки заявителя на розничном рынке в зоне деятельности Гарантирующего поставщика</w:t>
      </w:r>
      <w:proofErr w:type="gramEnd"/>
      <w:r w:rsidRPr="00D606E6">
        <w:rPr>
          <w:b/>
        </w:rPr>
        <w:t xml:space="preserve"> и о расчетных и контрольных средствах измерений</w:t>
      </w:r>
      <w:r>
        <w:rPr>
          <w:b/>
        </w:rPr>
        <w:t>.</w:t>
      </w:r>
    </w:p>
    <w:p w:rsidR="00882B76" w:rsidRPr="009A77E1" w:rsidRDefault="00882B76" w:rsidP="00882B76">
      <w:pPr>
        <w:pStyle w:val="a4"/>
        <w:ind w:left="717"/>
        <w:jc w:val="both"/>
        <w:rPr>
          <w:b/>
        </w:rPr>
      </w:pPr>
    </w:p>
    <w:p w:rsidR="002A0FFC" w:rsidRDefault="002A0FFC" w:rsidP="0082068C">
      <w:pPr>
        <w:spacing w:after="200" w:line="276" w:lineRule="auto"/>
        <w:ind w:firstLine="360"/>
        <w:jc w:val="both"/>
        <w:rPr>
          <w:b/>
          <w:sz w:val="23"/>
          <w:szCs w:val="23"/>
          <w:u w:val="single"/>
        </w:rPr>
      </w:pPr>
    </w:p>
    <w:p w:rsidR="002A0FFC" w:rsidRDefault="002A0FFC" w:rsidP="0082068C">
      <w:pPr>
        <w:spacing w:after="200" w:line="276" w:lineRule="auto"/>
        <w:ind w:firstLine="360"/>
        <w:jc w:val="both"/>
        <w:rPr>
          <w:b/>
          <w:sz w:val="23"/>
          <w:szCs w:val="23"/>
          <w:u w:val="single"/>
        </w:rPr>
      </w:pPr>
      <w:bookmarkStart w:id="0" w:name="_GoBack"/>
      <w:bookmarkEnd w:id="0"/>
    </w:p>
    <w:sectPr w:rsidR="002A0FFC" w:rsidSect="004C7F8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2B"/>
    <w:multiLevelType w:val="hybridMultilevel"/>
    <w:tmpl w:val="9856BE2E"/>
    <w:lvl w:ilvl="0" w:tplc="1D00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3329B"/>
    <w:multiLevelType w:val="hybridMultilevel"/>
    <w:tmpl w:val="E09A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7BD1"/>
    <w:multiLevelType w:val="hybridMultilevel"/>
    <w:tmpl w:val="430C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66ECF"/>
    <w:multiLevelType w:val="hybridMultilevel"/>
    <w:tmpl w:val="8054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F5090"/>
    <w:multiLevelType w:val="multilevel"/>
    <w:tmpl w:val="ED86DC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3971BA6"/>
    <w:multiLevelType w:val="multilevel"/>
    <w:tmpl w:val="71E49DE8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061334F"/>
    <w:multiLevelType w:val="hybridMultilevel"/>
    <w:tmpl w:val="A4A61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11831"/>
    <w:multiLevelType w:val="hybridMultilevel"/>
    <w:tmpl w:val="287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6556CF"/>
    <w:multiLevelType w:val="hybridMultilevel"/>
    <w:tmpl w:val="A912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25172"/>
    <w:multiLevelType w:val="hybridMultilevel"/>
    <w:tmpl w:val="66BEDBF2"/>
    <w:lvl w:ilvl="0" w:tplc="0770C1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28A5792"/>
    <w:multiLevelType w:val="hybridMultilevel"/>
    <w:tmpl w:val="7CFC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896A73"/>
    <w:multiLevelType w:val="hybridMultilevel"/>
    <w:tmpl w:val="1C74EB24"/>
    <w:lvl w:ilvl="0" w:tplc="4914E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3238C9"/>
    <w:multiLevelType w:val="multilevel"/>
    <w:tmpl w:val="62A601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56" w:hanging="1800"/>
      </w:pPr>
      <w:rPr>
        <w:rFonts w:hint="default"/>
      </w:rPr>
    </w:lvl>
  </w:abstractNum>
  <w:abstractNum w:abstractNumId="13">
    <w:nsid w:val="7ECD4708"/>
    <w:multiLevelType w:val="hybridMultilevel"/>
    <w:tmpl w:val="5F20C662"/>
    <w:lvl w:ilvl="0" w:tplc="FFFFFFFF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D"/>
    <w:rsid w:val="00023966"/>
    <w:rsid w:val="000422FA"/>
    <w:rsid w:val="000523E2"/>
    <w:rsid w:val="000A3BB7"/>
    <w:rsid w:val="000B3D57"/>
    <w:rsid w:val="000B74B3"/>
    <w:rsid w:val="000E24C8"/>
    <w:rsid w:val="000E2591"/>
    <w:rsid w:val="00137644"/>
    <w:rsid w:val="001863A8"/>
    <w:rsid w:val="001B75E6"/>
    <w:rsid w:val="002119D7"/>
    <w:rsid w:val="002741ED"/>
    <w:rsid w:val="002862ED"/>
    <w:rsid w:val="00293953"/>
    <w:rsid w:val="002A0FFC"/>
    <w:rsid w:val="00300C3E"/>
    <w:rsid w:val="00320152"/>
    <w:rsid w:val="00321755"/>
    <w:rsid w:val="00343035"/>
    <w:rsid w:val="00354DD3"/>
    <w:rsid w:val="00367EAC"/>
    <w:rsid w:val="00381E6A"/>
    <w:rsid w:val="00383E42"/>
    <w:rsid w:val="00395A4A"/>
    <w:rsid w:val="003D5FF5"/>
    <w:rsid w:val="00440E85"/>
    <w:rsid w:val="00463820"/>
    <w:rsid w:val="004675FB"/>
    <w:rsid w:val="0048078E"/>
    <w:rsid w:val="00487DBA"/>
    <w:rsid w:val="0049358B"/>
    <w:rsid w:val="00495E19"/>
    <w:rsid w:val="004C7F85"/>
    <w:rsid w:val="004E35F0"/>
    <w:rsid w:val="00551773"/>
    <w:rsid w:val="00572A25"/>
    <w:rsid w:val="005A3E86"/>
    <w:rsid w:val="005D7E73"/>
    <w:rsid w:val="005F24DE"/>
    <w:rsid w:val="005F4EEB"/>
    <w:rsid w:val="00614D84"/>
    <w:rsid w:val="00654C20"/>
    <w:rsid w:val="00673146"/>
    <w:rsid w:val="00687EDF"/>
    <w:rsid w:val="006C6BC2"/>
    <w:rsid w:val="007027C0"/>
    <w:rsid w:val="00753056"/>
    <w:rsid w:val="007531A5"/>
    <w:rsid w:val="007A532C"/>
    <w:rsid w:val="0082068C"/>
    <w:rsid w:val="008324B7"/>
    <w:rsid w:val="00863BCF"/>
    <w:rsid w:val="00882B76"/>
    <w:rsid w:val="008833AD"/>
    <w:rsid w:val="008E50E2"/>
    <w:rsid w:val="008E624A"/>
    <w:rsid w:val="00941E9A"/>
    <w:rsid w:val="009A0027"/>
    <w:rsid w:val="009A77E1"/>
    <w:rsid w:val="00A02309"/>
    <w:rsid w:val="00A11FDE"/>
    <w:rsid w:val="00A25233"/>
    <w:rsid w:val="00A615EB"/>
    <w:rsid w:val="00AA64FD"/>
    <w:rsid w:val="00AD40B4"/>
    <w:rsid w:val="00B11DB6"/>
    <w:rsid w:val="00B13A1E"/>
    <w:rsid w:val="00B4422E"/>
    <w:rsid w:val="00B86A5A"/>
    <w:rsid w:val="00B9487A"/>
    <w:rsid w:val="00B96EB7"/>
    <w:rsid w:val="00BA3F9C"/>
    <w:rsid w:val="00BA51A9"/>
    <w:rsid w:val="00C031CB"/>
    <w:rsid w:val="00C04A2A"/>
    <w:rsid w:val="00C05426"/>
    <w:rsid w:val="00C25E23"/>
    <w:rsid w:val="00C43922"/>
    <w:rsid w:val="00D01437"/>
    <w:rsid w:val="00D13BEC"/>
    <w:rsid w:val="00D14621"/>
    <w:rsid w:val="00D16D8F"/>
    <w:rsid w:val="00D341F9"/>
    <w:rsid w:val="00D4291C"/>
    <w:rsid w:val="00D606E6"/>
    <w:rsid w:val="00DF5BE7"/>
    <w:rsid w:val="00E16323"/>
    <w:rsid w:val="00E3501C"/>
    <w:rsid w:val="00E64F1F"/>
    <w:rsid w:val="00EB034D"/>
    <w:rsid w:val="00EB7CBB"/>
    <w:rsid w:val="00EE045D"/>
    <w:rsid w:val="00EF7D28"/>
    <w:rsid w:val="00F235A0"/>
    <w:rsid w:val="00F371E3"/>
    <w:rsid w:val="00F4556E"/>
    <w:rsid w:val="00FE07F5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4DD3"/>
    <w:pPr>
      <w:keepNext/>
      <w:ind w:left="-360"/>
      <w:jc w:val="both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F30CD"/>
    <w:pPr>
      <w:ind w:left="720"/>
    </w:pPr>
  </w:style>
  <w:style w:type="paragraph" w:customStyle="1" w:styleId="a3">
    <w:name w:val="Знак"/>
    <w:basedOn w:val="a"/>
    <w:rsid w:val="00FF30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4556E"/>
    <w:pPr>
      <w:ind w:left="720"/>
      <w:contextualSpacing/>
    </w:pPr>
  </w:style>
  <w:style w:type="character" w:styleId="a5">
    <w:name w:val="Hyperlink"/>
    <w:rsid w:val="00D16D8F"/>
    <w:rPr>
      <w:color w:val="0000FF"/>
      <w:u w:val="single"/>
    </w:rPr>
  </w:style>
  <w:style w:type="paragraph" w:styleId="31">
    <w:name w:val="Body Text Indent 3"/>
    <w:basedOn w:val="a"/>
    <w:link w:val="32"/>
    <w:rsid w:val="00D16D8F"/>
    <w:pPr>
      <w:ind w:firstLine="540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rsid w:val="00D1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4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354DD3"/>
    <w:pPr>
      <w:widowControl w:val="0"/>
      <w:snapToGrid w:val="0"/>
      <w:spacing w:after="0" w:line="480" w:lineRule="auto"/>
      <w:ind w:firstLine="5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4C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4DD3"/>
    <w:pPr>
      <w:keepNext/>
      <w:ind w:left="-360"/>
      <w:jc w:val="both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F30CD"/>
    <w:pPr>
      <w:ind w:left="720"/>
    </w:pPr>
  </w:style>
  <w:style w:type="paragraph" w:customStyle="1" w:styleId="a3">
    <w:name w:val="Знак"/>
    <w:basedOn w:val="a"/>
    <w:rsid w:val="00FF30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4556E"/>
    <w:pPr>
      <w:ind w:left="720"/>
      <w:contextualSpacing/>
    </w:pPr>
  </w:style>
  <w:style w:type="character" w:styleId="a5">
    <w:name w:val="Hyperlink"/>
    <w:rsid w:val="00D16D8F"/>
    <w:rPr>
      <w:color w:val="0000FF"/>
      <w:u w:val="single"/>
    </w:rPr>
  </w:style>
  <w:style w:type="paragraph" w:styleId="31">
    <w:name w:val="Body Text Indent 3"/>
    <w:basedOn w:val="a"/>
    <w:link w:val="32"/>
    <w:rsid w:val="00D16D8F"/>
    <w:pPr>
      <w:ind w:firstLine="540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rsid w:val="00D1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4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354DD3"/>
    <w:pPr>
      <w:widowControl w:val="0"/>
      <w:snapToGrid w:val="0"/>
      <w:spacing w:after="0" w:line="480" w:lineRule="auto"/>
      <w:ind w:firstLine="5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4C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BurcevaS</dc:creator>
  <cp:keywords/>
  <dc:description/>
  <cp:lastModifiedBy>Костюхина Людмила</cp:lastModifiedBy>
  <cp:revision>8</cp:revision>
  <cp:lastPrinted>2013-04-25T07:57:00Z</cp:lastPrinted>
  <dcterms:created xsi:type="dcterms:W3CDTF">2014-01-06T08:51:00Z</dcterms:created>
  <dcterms:modified xsi:type="dcterms:W3CDTF">2014-01-09T15:12:00Z</dcterms:modified>
</cp:coreProperties>
</file>