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06" w:rsidRPr="00635F94" w:rsidRDefault="00D35C05" w:rsidP="00E33206">
      <w:pPr>
        <w:spacing w:after="240"/>
        <w:ind w:left="11340"/>
        <w:jc w:val="right"/>
        <w:rPr>
          <w:rFonts w:ascii="Times New Roman" w:hAnsi="Times New Roman" w:cs="Times New Roman"/>
          <w:sz w:val="20"/>
          <w:szCs w:val="20"/>
        </w:rPr>
      </w:pPr>
      <w:r w:rsidRPr="00635F94">
        <w:rPr>
          <w:rFonts w:ascii="Times New Roman" w:hAnsi="Times New Roman" w:cs="Times New Roman"/>
          <w:sz w:val="20"/>
          <w:szCs w:val="20"/>
        </w:rPr>
        <w:t>Приложение №</w:t>
      </w:r>
      <w:r w:rsidR="004A5990" w:rsidRPr="00635F94">
        <w:rPr>
          <w:rFonts w:ascii="Times New Roman" w:hAnsi="Times New Roman" w:cs="Times New Roman"/>
          <w:sz w:val="20"/>
          <w:szCs w:val="20"/>
        </w:rPr>
        <w:t xml:space="preserve"> </w:t>
      </w:r>
      <w:r w:rsidR="0048433F" w:rsidRPr="00635F94">
        <w:rPr>
          <w:rFonts w:ascii="Times New Roman" w:hAnsi="Times New Roman" w:cs="Times New Roman"/>
          <w:sz w:val="20"/>
          <w:szCs w:val="20"/>
        </w:rPr>
        <w:t>16</w:t>
      </w:r>
      <w:r w:rsidR="0048433F" w:rsidRPr="00635F94">
        <w:rPr>
          <w:rFonts w:ascii="Times New Roman" w:hAnsi="Times New Roman" w:cs="Times New Roman"/>
          <w:sz w:val="20"/>
          <w:szCs w:val="20"/>
        </w:rPr>
        <w:br/>
        <w:t>к П</w:t>
      </w:r>
      <w:r w:rsidR="00E33206" w:rsidRPr="00635F94">
        <w:rPr>
          <w:rFonts w:ascii="Times New Roman" w:hAnsi="Times New Roman" w:cs="Times New Roman"/>
          <w:sz w:val="20"/>
          <w:szCs w:val="20"/>
        </w:rPr>
        <w:t>ри</w:t>
      </w:r>
      <w:r w:rsidR="0026149F" w:rsidRPr="00635F94">
        <w:rPr>
          <w:rFonts w:ascii="Times New Roman" w:hAnsi="Times New Roman" w:cs="Times New Roman"/>
          <w:sz w:val="20"/>
          <w:szCs w:val="20"/>
        </w:rPr>
        <w:t>казу ФАС России</w:t>
      </w:r>
      <w:r w:rsidR="0048433F" w:rsidRPr="00635F94">
        <w:rPr>
          <w:rFonts w:ascii="Times New Roman" w:hAnsi="Times New Roman" w:cs="Times New Roman"/>
          <w:sz w:val="20"/>
          <w:szCs w:val="20"/>
        </w:rPr>
        <w:t xml:space="preserve"> №</w:t>
      </w:r>
      <w:r w:rsidR="004A5990" w:rsidRPr="00635F94">
        <w:rPr>
          <w:rFonts w:ascii="Times New Roman" w:hAnsi="Times New Roman" w:cs="Times New Roman"/>
          <w:sz w:val="20"/>
          <w:szCs w:val="20"/>
        </w:rPr>
        <w:t> </w:t>
      </w:r>
      <w:r w:rsidR="0048433F" w:rsidRPr="00635F94">
        <w:rPr>
          <w:rFonts w:ascii="Times New Roman" w:hAnsi="Times New Roman" w:cs="Times New Roman"/>
          <w:sz w:val="20"/>
          <w:szCs w:val="20"/>
        </w:rPr>
        <w:t>631/14</w:t>
      </w:r>
      <w:r w:rsidR="0026149F" w:rsidRPr="00635F94">
        <w:rPr>
          <w:rFonts w:ascii="Times New Roman" w:hAnsi="Times New Roman" w:cs="Times New Roman"/>
          <w:sz w:val="20"/>
          <w:szCs w:val="20"/>
        </w:rPr>
        <w:t xml:space="preserve"> от 08.10.2014</w:t>
      </w:r>
      <w:r w:rsidR="0048433F" w:rsidRPr="00635F94">
        <w:rPr>
          <w:rFonts w:ascii="Times New Roman" w:hAnsi="Times New Roman" w:cs="Times New Roman"/>
          <w:sz w:val="20"/>
          <w:szCs w:val="20"/>
        </w:rPr>
        <w:t xml:space="preserve"> </w:t>
      </w:r>
    </w:p>
    <w:p w:rsidR="00DB49EA" w:rsidRPr="00635F94" w:rsidRDefault="00B94B39" w:rsidP="00DB49EA">
      <w:pPr>
        <w:spacing w:after="0" w:line="240" w:lineRule="auto"/>
        <w:ind w:right="-454"/>
        <w:contextualSpacing/>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w:t>
      </w:r>
      <w:r w:rsidR="007203A5">
        <w:rPr>
          <w:rFonts w:ascii="Times New Roman" w:hAnsi="Times New Roman" w:cs="Times New Roman"/>
          <w:b/>
        </w:rPr>
        <w:t>применяемые с 30.10.</w:t>
      </w:r>
      <w:r w:rsidR="00F67F2C">
        <w:rPr>
          <w:rFonts w:ascii="Times New Roman" w:hAnsi="Times New Roman" w:cs="Times New Roman"/>
          <w:b/>
        </w:rPr>
        <w:t>2021 год</w:t>
      </w:r>
      <w:r w:rsidR="007203A5">
        <w:rPr>
          <w:rFonts w:ascii="Times New Roman" w:hAnsi="Times New Roman" w:cs="Times New Roman"/>
          <w:b/>
        </w:rPr>
        <w:t>а</w:t>
      </w:r>
    </w:p>
    <w:tbl>
      <w:tblPr>
        <w:tblStyle w:val="a3"/>
        <w:tblW w:w="15736" w:type="dxa"/>
        <w:tblInd w:w="-318" w:type="dxa"/>
        <w:tblLayout w:type="fixed"/>
        <w:tblLook w:val="04A0" w:firstRow="1" w:lastRow="0" w:firstColumn="1" w:lastColumn="0" w:noHBand="0" w:noVBand="1"/>
      </w:tblPr>
      <w:tblGrid>
        <w:gridCol w:w="1986"/>
        <w:gridCol w:w="709"/>
        <w:gridCol w:w="2976"/>
        <w:gridCol w:w="10065"/>
      </w:tblGrid>
      <w:tr w:rsidR="00E33206" w:rsidRPr="00635F94" w:rsidTr="00B94B39">
        <w:trPr>
          <w:trHeight w:val="3069"/>
        </w:trPr>
        <w:tc>
          <w:tcPr>
            <w:tcW w:w="1986" w:type="dxa"/>
            <w:vMerge w:val="restart"/>
            <w:textDirection w:val="btLr"/>
            <w:hideMark/>
          </w:tcPr>
          <w:p w:rsidR="00E33206" w:rsidRPr="00635F94" w:rsidRDefault="00B94B39" w:rsidP="00684124">
            <w:pPr>
              <w:ind w:left="113" w:right="113"/>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w:t>
            </w:r>
            <w:r w:rsidR="00F67F2C">
              <w:rPr>
                <w:rFonts w:ascii="Times New Roman" w:hAnsi="Times New Roman" w:cs="Times New Roman"/>
                <w:b/>
              </w:rPr>
              <w:t>на 2021 год</w:t>
            </w: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1</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Срок действия договора</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Потребителя, и действует по «___» __________ 20___г. </w:t>
            </w:r>
          </w:p>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635F94" w:rsidRDefault="00B94B39" w:rsidP="00E803FC">
            <w:pPr>
              <w:jc w:val="both"/>
              <w:rPr>
                <w:rFonts w:ascii="Times New Roman" w:hAnsi="Times New Roman" w:cs="Times New Roman"/>
              </w:rPr>
            </w:pPr>
            <w:r w:rsidRPr="00635F94">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 </w:t>
            </w:r>
          </w:p>
        </w:tc>
      </w:tr>
      <w:tr w:rsidR="00E33206" w:rsidRPr="00635F94" w:rsidTr="00B94B39">
        <w:trPr>
          <w:trHeight w:val="141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2</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br/>
              <w:t>Вид цены на электрическую энергию (фиксированная или переменная)</w:t>
            </w:r>
          </w:p>
        </w:tc>
        <w:tc>
          <w:tcPr>
            <w:tcW w:w="10065" w:type="dxa"/>
            <w:vAlign w:val="center"/>
            <w:hideMark/>
          </w:tcPr>
          <w:p w:rsidR="00E33206" w:rsidRPr="00635F94" w:rsidRDefault="00B94B39" w:rsidP="00720926">
            <w:pPr>
              <w:jc w:val="both"/>
              <w:rPr>
                <w:rFonts w:ascii="Times New Roman" w:hAnsi="Times New Roman" w:cs="Times New Roman"/>
              </w:rPr>
            </w:pPr>
            <w:r w:rsidRPr="00635F94">
              <w:rPr>
                <w:rFonts w:ascii="Times New Roman" w:hAnsi="Times New Roman" w:cs="Times New Roman"/>
              </w:rPr>
              <w:t>Определение стоимости и 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tc>
      </w:tr>
      <w:tr w:rsidR="00E33206" w:rsidRPr="00635F94" w:rsidTr="00B94B39">
        <w:trPr>
          <w:trHeight w:val="126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3</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оплаты</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p>
          <w:p w:rsidR="0030406F"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sidR="001E4E61" w:rsidRPr="00635F94">
              <w:rPr>
                <w:rFonts w:ascii="Times New Roman" w:hAnsi="Times New Roman" w:cs="Times New Roman"/>
              </w:rPr>
              <w:t>Гарантирующего поставщика</w:t>
            </w:r>
            <w:r w:rsidRPr="00635F94">
              <w:rPr>
                <w:rFonts w:ascii="Times New Roman" w:hAnsi="Times New Roman" w:cs="Times New Roman"/>
              </w:rPr>
              <w:t xml:space="preserve"> не позднее 10-го числа месяца, следующего за расчетным периодом.</w:t>
            </w:r>
          </w:p>
        </w:tc>
      </w:tr>
      <w:tr w:rsidR="00E33206" w:rsidRPr="00635F94" w:rsidTr="00B94B39">
        <w:trPr>
          <w:trHeight w:val="123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4</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обеспечения исполнения обязательств сторон по договору</w:t>
            </w:r>
          </w:p>
        </w:tc>
        <w:tc>
          <w:tcPr>
            <w:tcW w:w="10065" w:type="dxa"/>
            <w:noWrap/>
            <w:vAlign w:val="center"/>
            <w:hideMark/>
          </w:tcPr>
          <w:p w:rsidR="00E33206" w:rsidRPr="00635F94" w:rsidRDefault="00E33206" w:rsidP="00ED37CF">
            <w:pPr>
              <w:jc w:val="both"/>
              <w:rPr>
                <w:rFonts w:ascii="Times New Roman" w:hAnsi="Times New Roman" w:cs="Times New Roman"/>
              </w:rPr>
            </w:pPr>
            <w:r w:rsidRPr="00635F94">
              <w:rPr>
                <w:rFonts w:ascii="Times New Roman" w:hAnsi="Times New Roman" w:cs="Times New Roman"/>
              </w:rPr>
              <w:t xml:space="preserve">Гарантирующий поставщик </w:t>
            </w:r>
            <w:r w:rsidR="00A16CE9" w:rsidRPr="00635F94">
              <w:rPr>
                <w:rFonts w:ascii="Times New Roman" w:hAnsi="Times New Roman" w:cs="Times New Roman"/>
              </w:rPr>
              <w:t>имеет право</w:t>
            </w:r>
            <w:r w:rsidRPr="00635F94">
              <w:rPr>
                <w:rFonts w:ascii="Times New Roman" w:hAnsi="Times New Roman" w:cs="Times New Roman"/>
              </w:rPr>
              <w:t xml:space="preserve">: 1) </w:t>
            </w:r>
            <w:r w:rsidR="00A16CE9" w:rsidRPr="00635F94">
              <w:rPr>
                <w:rFonts w:ascii="Times New Roman" w:hAnsi="Times New Roman" w:cs="Times New Roman"/>
              </w:rPr>
              <w:t>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Договором, с учетом величин технологической и (или) аварийной брони.</w:t>
            </w:r>
          </w:p>
        </w:tc>
      </w:tr>
      <w:tr w:rsidR="00E33206" w:rsidRPr="00635F94" w:rsidTr="00B94B39">
        <w:trPr>
          <w:trHeight w:val="726"/>
        </w:trPr>
        <w:tc>
          <w:tcPr>
            <w:tcW w:w="1986" w:type="dxa"/>
            <w:vMerge/>
            <w:tcBorders>
              <w:bottom w:val="single" w:sz="4" w:space="0" w:color="auto"/>
            </w:tcBorders>
            <w:hideMark/>
          </w:tcPr>
          <w:p w:rsidR="00E33206" w:rsidRPr="00635F94" w:rsidRDefault="00E33206" w:rsidP="00E803FC">
            <w:pPr>
              <w:jc w:val="center"/>
              <w:rPr>
                <w:rFonts w:ascii="Times New Roman" w:hAnsi="Times New Roman" w:cs="Times New Roman"/>
              </w:rPr>
            </w:pPr>
          </w:p>
        </w:tc>
        <w:tc>
          <w:tcPr>
            <w:tcW w:w="709" w:type="dxa"/>
            <w:tcBorders>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5</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Зона обслуживания</w:t>
            </w:r>
          </w:p>
        </w:tc>
        <w:tc>
          <w:tcPr>
            <w:tcW w:w="10065" w:type="dxa"/>
            <w:vAlign w:val="center"/>
            <w:hideMark/>
          </w:tcPr>
          <w:p w:rsidR="00E33206" w:rsidRPr="00635F94" w:rsidRDefault="00E33206" w:rsidP="00B43E81">
            <w:pPr>
              <w:jc w:val="both"/>
              <w:rPr>
                <w:rFonts w:ascii="Times New Roman" w:hAnsi="Times New Roman" w:cs="Times New Roman"/>
              </w:rPr>
            </w:pPr>
            <w:r w:rsidRPr="00635F94">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sidRPr="00635F94">
              <w:rPr>
                <w:rFonts w:ascii="Times New Roman" w:hAnsi="Times New Roman" w:cs="Times New Roman"/>
              </w:rPr>
              <w:t xml:space="preserve">тарифов </w:t>
            </w:r>
            <w:r w:rsidR="00B43E81" w:rsidRPr="00635F94">
              <w:rPr>
                <w:rFonts w:ascii="Times New Roman" w:hAnsi="Times New Roman" w:cs="Times New Roman"/>
              </w:rPr>
              <w:t>№</w:t>
            </w:r>
            <w:r w:rsidR="004A5990" w:rsidRPr="00635F94">
              <w:rPr>
                <w:rFonts w:ascii="Times New Roman" w:hAnsi="Times New Roman" w:cs="Times New Roman"/>
              </w:rPr>
              <w:t xml:space="preserve"> </w:t>
            </w:r>
            <w:r w:rsidR="00B43E81" w:rsidRPr="00635F94">
              <w:rPr>
                <w:rFonts w:ascii="Times New Roman" w:hAnsi="Times New Roman" w:cs="Times New Roman"/>
              </w:rPr>
              <w:t xml:space="preserve">137 </w:t>
            </w:r>
            <w:r w:rsidR="0026149F" w:rsidRPr="00635F94">
              <w:rPr>
                <w:rFonts w:ascii="Times New Roman" w:hAnsi="Times New Roman" w:cs="Times New Roman"/>
              </w:rPr>
              <w:t>от 10 октября 2006 г.</w:t>
            </w:r>
          </w:p>
        </w:tc>
      </w:tr>
      <w:tr w:rsidR="00E33206" w:rsidRPr="00635F94" w:rsidTr="00B94B39">
        <w:trPr>
          <w:trHeight w:val="560"/>
        </w:trPr>
        <w:tc>
          <w:tcPr>
            <w:tcW w:w="1986" w:type="dxa"/>
            <w:vMerge/>
            <w:tcBorders>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6</w:t>
            </w:r>
          </w:p>
        </w:tc>
        <w:tc>
          <w:tcPr>
            <w:tcW w:w="2976" w:type="dxa"/>
            <w:vMerge w:val="restart"/>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Условия расторжения договора</w:t>
            </w:r>
          </w:p>
        </w:tc>
        <w:tc>
          <w:tcPr>
            <w:tcW w:w="10065" w:type="dxa"/>
            <w:vMerge w:val="restart"/>
            <w:vAlign w:val="center"/>
            <w:hideMark/>
          </w:tcPr>
          <w:p w:rsidR="00B43E81" w:rsidRPr="00635F94" w:rsidRDefault="00B43E81" w:rsidP="00B43E81">
            <w:pPr>
              <w:jc w:val="both"/>
              <w:rPr>
                <w:rFonts w:ascii="Times New Roman" w:hAnsi="Times New Roman" w:cs="Times New Roman"/>
              </w:rPr>
            </w:pPr>
            <w:r w:rsidRPr="00635F94">
              <w:rPr>
                <w:rFonts w:ascii="Times New Roman" w:hAnsi="Times New Roman" w:cs="Times New Roman"/>
              </w:rPr>
              <w:t xml:space="preserve">Договор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w:t>
            </w:r>
            <w:r w:rsidRPr="00635F94">
              <w:rPr>
                <w:rFonts w:ascii="Times New Roman" w:hAnsi="Times New Roman" w:cs="Times New Roman"/>
              </w:rPr>
              <w:lastRenderedPageBreak/>
              <w:t>предусмотренных действующим законодательством РФ.</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Договор может быть изменен или расторгнут: в одностороннем порядке в случаях, предусмотренных настоящим Договором, по соглашению Сторон, а также в случаях, предусмотренных действующим законодательством РФ. </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Гарантирующий поставщик имеет право в одностороннем порядке отказаться от исполнения Договора полностью, уведомив Потребителя об этом за 10 рабочих дней до заявляемой Гарантирующим поставщиком даты отказа от Договора, если по Договору Потребителем не исполняются или исполняются ненадлежащим образом обязательства по оплате. Договор в этом случае считается расторгнутым с даты, указанной в уведомлении. </w:t>
            </w:r>
          </w:p>
          <w:p w:rsidR="00E33206" w:rsidRPr="00635F94" w:rsidRDefault="0043718A" w:rsidP="0043718A">
            <w:pPr>
              <w:jc w:val="both"/>
              <w:rPr>
                <w:rFonts w:ascii="Times New Roman" w:hAnsi="Times New Roman" w:cs="Times New Roman"/>
              </w:rPr>
            </w:pPr>
            <w:r w:rsidRPr="00635F94">
              <w:rPr>
                <w:rFonts w:ascii="Times New Roman" w:hAnsi="Times New Roman" w:cs="Times New Roman"/>
              </w:rPr>
              <w:t>Потребитель имеет право</w:t>
            </w:r>
            <w:r w:rsidR="000210C9" w:rsidRPr="00635F94">
              <w:rPr>
                <w:rFonts w:ascii="Times New Roman" w:hAnsi="Times New Roman" w:cs="Times New Roman"/>
              </w:rPr>
              <w:t xml:space="preserve"> в одностороннем порядке </w:t>
            </w:r>
            <w:r w:rsidRPr="00635F94">
              <w:rPr>
                <w:rFonts w:ascii="Times New Roman" w:hAnsi="Times New Roman" w:cs="Times New Roman"/>
              </w:rPr>
              <w:t>отказаться от исполнения Договора полностью, что влечет его расторжение при условии оплаты Гарантирующему поставщику</w:t>
            </w:r>
            <w:r w:rsidR="00035B04" w:rsidRPr="00635F94">
              <w:rPr>
                <w:rFonts w:ascii="Times New Roman" w:hAnsi="Times New Roman" w:cs="Times New Roman"/>
              </w:rPr>
              <w:t xml:space="preserve"> не позднее, чем за 10 </w:t>
            </w:r>
            <w:r w:rsidRPr="00635F94">
              <w:rPr>
                <w:rFonts w:ascii="Times New Roman" w:hAnsi="Times New Roman" w:cs="Times New Roman"/>
              </w:rPr>
              <w:t>рабочих дней до заявляемой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требованиями Основных положений</w:t>
            </w:r>
            <w:r w:rsidR="000210C9" w:rsidRPr="00635F94">
              <w:rPr>
                <w:rFonts w:ascii="Times New Roman" w:hAnsi="Times New Roman" w:cs="Times New Roman"/>
              </w:rPr>
              <w:t>.</w:t>
            </w:r>
          </w:p>
        </w:tc>
      </w:tr>
      <w:tr w:rsidR="00E33206" w:rsidRPr="00635F94" w:rsidTr="00B94B39">
        <w:trPr>
          <w:trHeight w:val="841"/>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tcBorders>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7</w:t>
            </w:r>
          </w:p>
        </w:tc>
        <w:tc>
          <w:tcPr>
            <w:tcW w:w="2976" w:type="dxa"/>
            <w:vMerge w:val="restart"/>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Ответственность сторон</w:t>
            </w:r>
          </w:p>
        </w:tc>
        <w:tc>
          <w:tcPr>
            <w:tcW w:w="10065" w:type="dxa"/>
            <w:vMerge w:val="restart"/>
            <w:vAlign w:val="center"/>
            <w:hideMark/>
          </w:tcPr>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Гарантирующий поставщик и Сетевая организация несут ответственность перед По</w:t>
            </w:r>
            <w:bookmarkStart w:id="0" w:name="_GoBack"/>
            <w:bookmarkEnd w:id="0"/>
            <w:r w:rsidRPr="00635F94">
              <w:rPr>
                <w:rFonts w:ascii="Times New Roman" w:hAnsi="Times New Roman" w:cs="Times New Roman"/>
              </w:rPr>
              <w:t>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w:t>
            </w:r>
            <w:r w:rsidR="007203A5">
              <w:rPr>
                <w:rFonts w:ascii="Times New Roman" w:hAnsi="Times New Roman" w:cs="Times New Roman"/>
              </w:rPr>
              <w:t xml:space="preserve">тевой организации </w:t>
            </w:r>
            <w:r w:rsidRPr="00635F94">
              <w:rPr>
                <w:rFonts w:ascii="Times New Roman" w:hAnsi="Times New Roman" w:cs="Times New Roman"/>
              </w:rPr>
              <w:t xml:space="preserve">в случае, если </w:t>
            </w:r>
            <w:proofErr w:type="spellStart"/>
            <w:r w:rsidRPr="00635F94">
              <w:rPr>
                <w:rFonts w:ascii="Times New Roman" w:hAnsi="Times New Roman" w:cs="Times New Roman"/>
              </w:rPr>
              <w:t>энергопринимающее</w:t>
            </w:r>
            <w:proofErr w:type="spellEnd"/>
            <w:r w:rsidRPr="00635F94">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635F94">
              <w:rPr>
                <w:rFonts w:ascii="Times New Roman" w:hAnsi="Times New Roman" w:cs="Times New Roman"/>
              </w:rPr>
              <w:t>энергопринимающие</w:t>
            </w:r>
            <w:proofErr w:type="spellEnd"/>
            <w:r w:rsidRPr="00635F94">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 xml:space="preserve">Стороны освобождаются от ответственности за неисполнение принятых на себя обязательств в случае,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w:t>
            </w:r>
            <w:r w:rsidRPr="00635F94">
              <w:rPr>
                <w:rFonts w:ascii="Times New Roman" w:hAnsi="Times New Roman" w:cs="Times New Roman"/>
              </w:rPr>
              <w:lastRenderedPageBreak/>
              <w:t xml:space="preserve">государственных органов, препятствующие выполнению условий настоящего Договора.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635F94">
              <w:rPr>
                <w:rFonts w:ascii="Times New Roman" w:hAnsi="Times New Roman" w:cs="Times New Roman"/>
              </w:rPr>
              <w:t xml:space="preserve">, предусмотренных п. 4.2 настоящего Договора, Потребитель </w:t>
            </w:r>
            <w:r w:rsidRPr="00635F94">
              <w:rPr>
                <w:rFonts w:ascii="Times New Roman" w:hAnsi="Times New Roman" w:cs="Times New Roman"/>
                <w:iCs/>
              </w:rPr>
              <w:t>обязан уплатить Гарантирующему поставщику пени в размере, определенном законодательством Российской Федерации.</w:t>
            </w:r>
          </w:p>
          <w:p w:rsidR="00635F94" w:rsidRPr="00635F94" w:rsidRDefault="00635F94" w:rsidP="00635F94">
            <w:pPr>
              <w:jc w:val="both"/>
              <w:rPr>
                <w:rFonts w:ascii="Times New Roman" w:hAnsi="Times New Roman" w:cs="Times New Roman"/>
                <w:iCs/>
              </w:rPr>
            </w:pPr>
            <w:r w:rsidRPr="00635F94">
              <w:rPr>
                <w:rFonts w:ascii="Times New Roman" w:hAnsi="Times New Roman" w:cs="Times New Roman"/>
                <w:iCs/>
              </w:rPr>
              <w:t>Потребитель в соответствии с законодательством РФ обязан возместить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33206" w:rsidRPr="00635F94" w:rsidRDefault="00B81659" w:rsidP="00635F94">
            <w:pPr>
              <w:jc w:val="both"/>
              <w:rPr>
                <w:rFonts w:ascii="Times New Roman" w:hAnsi="Times New Roman" w:cs="Times New Roman"/>
                <w:iCs/>
              </w:rPr>
            </w:pPr>
            <w:r w:rsidRPr="00635F94">
              <w:rPr>
                <w:rFonts w:ascii="Times New Roman" w:hAnsi="Times New Roman" w:cs="Times New Roman"/>
              </w:rPr>
              <w:t xml:space="preserve">Иная ответственность Сторон, не предусмотренная Договором, </w:t>
            </w:r>
            <w:r w:rsidR="00635F94" w:rsidRPr="00635F94">
              <w:rPr>
                <w:rFonts w:ascii="Times New Roman" w:hAnsi="Times New Roman" w:cs="Times New Roman"/>
                <w:iCs/>
              </w:rPr>
              <w:t xml:space="preserve">регулируются действующим законодательством РФ. </w:t>
            </w:r>
          </w:p>
        </w:tc>
      </w:tr>
      <w:tr w:rsidR="00E33206" w:rsidRPr="00635F94" w:rsidTr="00B94B39">
        <w:trPr>
          <w:trHeight w:val="1736"/>
        </w:trPr>
        <w:tc>
          <w:tcPr>
            <w:tcW w:w="1986" w:type="dxa"/>
            <w:tcBorders>
              <w:top w:val="nil"/>
              <w:bottom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val="restart"/>
            <w:tcBorders>
              <w:top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hideMark/>
          </w:tcPr>
          <w:p w:rsidR="00E33206" w:rsidRPr="00635F94" w:rsidRDefault="00E33206" w:rsidP="00E803FC">
            <w:pPr>
              <w:jc w:val="center"/>
              <w:rPr>
                <w:rFonts w:ascii="Times New Roman" w:hAnsi="Times New Roman" w:cs="Times New Roman"/>
              </w:rPr>
            </w:pPr>
          </w:p>
        </w:tc>
        <w:tc>
          <w:tcPr>
            <w:tcW w:w="709" w:type="dxa"/>
            <w:vMerge/>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5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8</w:t>
            </w:r>
          </w:p>
        </w:tc>
        <w:tc>
          <w:tcPr>
            <w:tcW w:w="2976" w:type="dxa"/>
            <w:vAlign w:val="center"/>
            <w:hideMark/>
          </w:tcPr>
          <w:p w:rsidR="00E33206" w:rsidRPr="00635F94" w:rsidRDefault="00E33206" w:rsidP="00B81659">
            <w:pPr>
              <w:jc w:val="center"/>
              <w:rPr>
                <w:rFonts w:ascii="Times New Roman" w:hAnsi="Times New Roman" w:cs="Times New Roman"/>
                <w:b/>
              </w:rPr>
            </w:pPr>
            <w:r w:rsidRPr="00635F94">
              <w:rPr>
                <w:rFonts w:ascii="Times New Roman" w:hAnsi="Times New Roman" w:cs="Times New Roman"/>
                <w:b/>
              </w:rPr>
              <w:t>Иная информация, являющаяся существенной для потребителей</w:t>
            </w:r>
          </w:p>
        </w:tc>
        <w:tc>
          <w:tcPr>
            <w:tcW w:w="10065" w:type="dxa"/>
            <w:vAlign w:val="center"/>
            <w:hideMark/>
          </w:tcPr>
          <w:p w:rsidR="00E33206" w:rsidRPr="00635F94" w:rsidRDefault="00E33206" w:rsidP="00720926">
            <w:pPr>
              <w:jc w:val="both"/>
              <w:rPr>
                <w:rFonts w:ascii="Times New Roman" w:hAnsi="Times New Roman" w:cs="Times New Roman"/>
              </w:rPr>
            </w:pPr>
            <w:r w:rsidRPr="00635F94">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w:t>
            </w:r>
            <w:r w:rsidR="004A5990" w:rsidRPr="00635F94">
              <w:rPr>
                <w:rFonts w:ascii="Times New Roman" w:hAnsi="Times New Roman" w:cs="Times New Roman"/>
              </w:rPr>
              <w:t xml:space="preserve"> </w:t>
            </w:r>
            <w:r w:rsidRPr="00635F94">
              <w:rPr>
                <w:rFonts w:ascii="Times New Roman" w:hAnsi="Times New Roman" w:cs="Times New Roman"/>
              </w:rPr>
              <w:t>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Pr="00635F94" w:rsidRDefault="00E33206" w:rsidP="003969E7">
      <w:pPr>
        <w:rPr>
          <w:rFonts w:ascii="Times New Roman" w:hAnsi="Times New Roman" w:cs="Times New Roman"/>
          <w:b/>
        </w:rPr>
      </w:pPr>
    </w:p>
    <w:sectPr w:rsidR="00E33206" w:rsidRPr="00635F94"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210C9"/>
    <w:rsid w:val="00035B04"/>
    <w:rsid w:val="00064D6B"/>
    <w:rsid w:val="000C0B23"/>
    <w:rsid w:val="001148A3"/>
    <w:rsid w:val="001B4AFB"/>
    <w:rsid w:val="001E4E61"/>
    <w:rsid w:val="001F5892"/>
    <w:rsid w:val="0026149F"/>
    <w:rsid w:val="0030406F"/>
    <w:rsid w:val="003969E7"/>
    <w:rsid w:val="003D2C56"/>
    <w:rsid w:val="0043718A"/>
    <w:rsid w:val="0048433F"/>
    <w:rsid w:val="004A5990"/>
    <w:rsid w:val="00525945"/>
    <w:rsid w:val="005812F7"/>
    <w:rsid w:val="005E366E"/>
    <w:rsid w:val="00635F94"/>
    <w:rsid w:val="00684124"/>
    <w:rsid w:val="006A4992"/>
    <w:rsid w:val="00715984"/>
    <w:rsid w:val="007203A5"/>
    <w:rsid w:val="00720926"/>
    <w:rsid w:val="0072371A"/>
    <w:rsid w:val="00991906"/>
    <w:rsid w:val="00A16CE9"/>
    <w:rsid w:val="00A4231C"/>
    <w:rsid w:val="00B33769"/>
    <w:rsid w:val="00B43E81"/>
    <w:rsid w:val="00B81659"/>
    <w:rsid w:val="00B94B39"/>
    <w:rsid w:val="00BA69DA"/>
    <w:rsid w:val="00C0561E"/>
    <w:rsid w:val="00D35C05"/>
    <w:rsid w:val="00D75AD8"/>
    <w:rsid w:val="00DB49EA"/>
    <w:rsid w:val="00DC2405"/>
    <w:rsid w:val="00E33206"/>
    <w:rsid w:val="00ED37CF"/>
    <w:rsid w:val="00F32FC5"/>
    <w:rsid w:val="00F67F2C"/>
    <w:rsid w:val="00F72208"/>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4D2B"/>
  <w15:docId w15:val="{AEA97355-8381-44B0-AB31-D7AFEDA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12</cp:revision>
  <cp:lastPrinted>2020-10-15T13:21:00Z</cp:lastPrinted>
  <dcterms:created xsi:type="dcterms:W3CDTF">2019-01-21T09:09:00Z</dcterms:created>
  <dcterms:modified xsi:type="dcterms:W3CDTF">2021-09-23T06:14:00Z</dcterms:modified>
</cp:coreProperties>
</file>