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630969">
        <w:rPr>
          <w:rFonts w:ascii="Times New Roman" w:hAnsi="Times New Roman"/>
          <w:sz w:val="24"/>
          <w:szCs w:val="24"/>
        </w:rPr>
        <w:t>простой закупки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="00630969">
        <w:rPr>
          <w:rFonts w:ascii="Times New Roman" w:hAnsi="Times New Roman"/>
          <w:sz w:val="24"/>
          <w:szCs w:val="24"/>
        </w:rPr>
        <w:t xml:space="preserve"> поставки</w:t>
      </w:r>
      <w:r w:rsidRPr="00461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0969" w:rsidRPr="00630969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="00630969" w:rsidRPr="00630969">
        <w:rPr>
          <w:rFonts w:ascii="Times New Roman" w:hAnsi="Times New Roman"/>
          <w:sz w:val="24"/>
          <w:szCs w:val="24"/>
        </w:rPr>
        <w:t xml:space="preserve"> и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630969" w:rsidP="00630969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Простая закупка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>
              <w:rPr>
                <w:rFonts w:ascii="Times New Roman" w:hAnsi="Times New Roman"/>
                <w:bCs/>
              </w:rPr>
              <w:t xml:space="preserve"> Простая закупка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30969" w:rsidP="009077B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30969">
              <w:rPr>
                <w:rFonts w:ascii="Times New Roman" w:hAnsi="Times New Roman"/>
              </w:rPr>
              <w:t xml:space="preserve">оставка </w:t>
            </w:r>
            <w:proofErr w:type="gramStart"/>
            <w:r w:rsidRPr="00630969">
              <w:rPr>
                <w:rFonts w:ascii="Times New Roman" w:hAnsi="Times New Roman"/>
              </w:rPr>
              <w:t>комплектующих</w:t>
            </w:r>
            <w:proofErr w:type="gramEnd"/>
            <w:r w:rsidRPr="00630969">
              <w:rPr>
                <w:rFonts w:ascii="Times New Roman" w:hAnsi="Times New Roman"/>
              </w:rPr>
              <w:t xml:space="preserve"> и оборудования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630969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630969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630969">
              <w:rPr>
                <w:rFonts w:ascii="Times New Roman" w:hAnsi="Times New Roman"/>
              </w:rPr>
              <w:t>Компьютерно</w:t>
            </w:r>
            <w:r>
              <w:rPr>
                <w:rFonts w:ascii="Times New Roman" w:hAnsi="Times New Roman"/>
              </w:rPr>
              <w:t xml:space="preserve">е оборудование и комплектующие </w:t>
            </w:r>
            <w:r w:rsidRPr="00630969">
              <w:rPr>
                <w:rFonts w:ascii="Times New Roman" w:hAnsi="Times New Roman"/>
              </w:rPr>
              <w:t>согласно</w:t>
            </w:r>
            <w:r>
              <w:rPr>
                <w:rFonts w:ascii="Times New Roman" w:hAnsi="Times New Roman"/>
              </w:rPr>
              <w:t xml:space="preserve"> Документации по простой закупке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63096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630969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121EF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21EF">
              <w:rPr>
                <w:rFonts w:ascii="Times New Roman" w:hAnsi="Times New Roman"/>
              </w:rPr>
              <w:t>334 396,67</w:t>
            </w:r>
            <w:r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AC35D7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AC35D7">
              <w:rPr>
                <w:rFonts w:ascii="Times New Roman" w:hAnsi="Times New Roman"/>
                <w:bCs/>
              </w:rPr>
              <w:t xml:space="preserve"> 21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AC35D7">
              <w:rPr>
                <w:rFonts w:ascii="Times New Roman" w:hAnsi="Times New Roman"/>
                <w:bCs/>
              </w:rPr>
              <w:t xml:space="preserve"> 30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простой закупке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 (далее - ЭТ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П), https://zakupki.eltender.ru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AC35D7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AC35D7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30969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AC35D7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AC35D7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C35D7" w:rsidP="006309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9F7E3C" w:rsidRPr="009F7E3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AC35D7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AC35D7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C35D7" w:rsidP="003B24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AC35D7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AC35D7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AC35D7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AC35D7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bookmarkStart w:id="0" w:name="_GoBack"/>
            <w:bookmarkEnd w:id="0"/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>по простой закупке.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35D7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FDBE-AD80-4593-99F4-3B347A2A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24</cp:revision>
  <cp:lastPrinted>2019-10-17T11:14:00Z</cp:lastPrinted>
  <dcterms:created xsi:type="dcterms:W3CDTF">2019-02-25T11:33:00Z</dcterms:created>
  <dcterms:modified xsi:type="dcterms:W3CDTF">2019-10-21T12:44:00Z</dcterms:modified>
</cp:coreProperties>
</file>